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614D">
        <w:rPr>
          <w:sz w:val="28"/>
          <w:szCs w:val="28"/>
        </w:rPr>
        <w:tab/>
      </w:r>
      <w:r w:rsidR="00BF614D">
        <w:rPr>
          <w:sz w:val="28"/>
          <w:szCs w:val="28"/>
        </w:rPr>
        <w:tab/>
      </w:r>
      <w:r w:rsidR="00BF614D">
        <w:rPr>
          <w:sz w:val="28"/>
          <w:szCs w:val="28"/>
        </w:rPr>
        <w:tab/>
      </w:r>
      <w:r>
        <w:rPr>
          <w:sz w:val="20"/>
          <w:szCs w:val="20"/>
        </w:rPr>
        <w:t>УТВЕРЖДЕНА</w:t>
      </w:r>
    </w:p>
    <w:p w:rsidR="00C11E44" w:rsidRDefault="00C11E44" w:rsidP="00C11E44">
      <w:pPr>
        <w:autoSpaceDE w:val="0"/>
        <w:autoSpaceDN w:val="0"/>
        <w:adjustRightInd w:val="0"/>
        <w:spacing w:before="60" w:after="60"/>
        <w:ind w:right="-10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постановлением главы </w:t>
      </w:r>
    </w:p>
    <w:p w:rsidR="00C11E44" w:rsidRDefault="00C11E44" w:rsidP="00C11E44">
      <w:pPr>
        <w:autoSpaceDE w:val="0"/>
        <w:autoSpaceDN w:val="0"/>
        <w:adjustRightInd w:val="0"/>
        <w:spacing w:before="60" w:after="60"/>
        <w:ind w:right="-10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городского округа Зарайск</w:t>
      </w:r>
    </w:p>
    <w:p w:rsidR="00C11E44" w:rsidRDefault="00C11E44" w:rsidP="00C11E44">
      <w:pPr>
        <w:autoSpaceDE w:val="0"/>
        <w:autoSpaceDN w:val="0"/>
        <w:adjustRightInd w:val="0"/>
        <w:spacing w:before="60" w:after="60"/>
        <w:ind w:right="-10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от 09.12.2022 № 2210/12</w:t>
      </w:r>
    </w:p>
    <w:p w:rsidR="00C11E44" w:rsidRDefault="00C11E44" w:rsidP="00C11E44">
      <w:pPr>
        <w:autoSpaceDE w:val="0"/>
        <w:autoSpaceDN w:val="0"/>
        <w:adjustRightInd w:val="0"/>
        <w:spacing w:before="60" w:after="60"/>
        <w:ind w:right="-10"/>
        <w:outlineLvl w:val="0"/>
        <w:rPr>
          <w:b/>
          <w:sz w:val="20"/>
          <w:szCs w:val="20"/>
        </w:rPr>
      </w:pPr>
    </w:p>
    <w:p w:rsidR="00C11E44" w:rsidRDefault="00C11E44" w:rsidP="00C11E44">
      <w:pPr>
        <w:autoSpaceDE w:val="0"/>
        <w:autoSpaceDN w:val="0"/>
        <w:adjustRightInd w:val="0"/>
        <w:spacing w:before="60" w:after="60"/>
        <w:ind w:right="-10"/>
        <w:outlineLvl w:val="0"/>
      </w:pPr>
      <w:r>
        <w:t>Муниципальная программа городского округа Зарайск Московской области «Развитие сельского хозяйства» на 2023-2027 годы</w:t>
      </w:r>
      <w:bookmarkStart w:id="0" w:name="_GoBack"/>
      <w:bookmarkEnd w:id="0"/>
    </w:p>
    <w:p w:rsidR="00C11E44" w:rsidRDefault="00C11E44" w:rsidP="00C11E44">
      <w:pPr>
        <w:numPr>
          <w:ilvl w:val="0"/>
          <w:numId w:val="12"/>
        </w:numPr>
        <w:autoSpaceDE w:val="0"/>
        <w:autoSpaceDN w:val="0"/>
        <w:adjustRightInd w:val="0"/>
        <w:spacing w:before="60" w:after="60"/>
        <w:ind w:left="0" w:right="-10" w:firstLine="0"/>
        <w:outlineLvl w:val="0"/>
      </w:pPr>
      <w:r>
        <w:t>Паспорт муниципальной программы городского округа Зарайск Московской области «Развитие сельского хозяйства» на 2023-2027 годы.</w:t>
      </w:r>
    </w:p>
    <w:p w:rsidR="00C11E44" w:rsidRDefault="00C11E44" w:rsidP="00C11E44">
      <w:pPr>
        <w:numPr>
          <w:ilvl w:val="0"/>
          <w:numId w:val="12"/>
        </w:numPr>
        <w:autoSpaceDE w:val="0"/>
        <w:autoSpaceDN w:val="0"/>
        <w:adjustRightInd w:val="0"/>
        <w:spacing w:before="60" w:after="60"/>
        <w:ind w:left="0" w:right="-10" w:firstLine="0"/>
        <w:outlineLvl w:val="0"/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83"/>
        <w:gridCol w:w="2673"/>
        <w:gridCol w:w="1689"/>
        <w:gridCol w:w="1555"/>
        <w:gridCol w:w="1547"/>
        <w:gridCol w:w="1547"/>
        <w:gridCol w:w="1692"/>
      </w:tblGrid>
      <w:tr w:rsidR="00C11E44" w:rsidTr="00C11E44">
        <w:trPr>
          <w:trHeight w:val="417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250"/>
            </w:pPr>
            <w:r>
              <w:t xml:space="preserve">Координатор муниципальной программы  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</w:pPr>
            <w:r>
              <w:t>Первый заместитель главы администрации городского округа Зарайск Глухих И.Е.</w:t>
            </w:r>
          </w:p>
        </w:tc>
      </w:tr>
      <w:tr w:rsidR="00C11E44" w:rsidTr="00C11E44">
        <w:trPr>
          <w:trHeight w:val="347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Муниципальный заказчик программы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Московская область</w:t>
            </w:r>
          </w:p>
        </w:tc>
      </w:tr>
      <w:tr w:rsidR="00C11E44" w:rsidTr="00C11E44">
        <w:trPr>
          <w:trHeight w:val="865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Цели   муниципальной программы  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1. Обеспечение населения сельскохозяйственной продукцией и продовольствием собственного производства</w:t>
            </w:r>
          </w:p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2. Сохранение численности сельского населения</w:t>
            </w:r>
          </w:p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3. Обеспечение эпизоотического и ветеринарно-санитарного благополучия территории.</w:t>
            </w:r>
          </w:p>
        </w:tc>
      </w:tr>
      <w:tr w:rsidR="00C11E44" w:rsidTr="00C11E44">
        <w:trPr>
          <w:trHeight w:val="220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</w:pPr>
            <w:r>
              <w:t>Перечень подпрограмм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Муниципальный заказчик подпрограммы</w:t>
            </w:r>
          </w:p>
        </w:tc>
      </w:tr>
      <w:tr w:rsidR="00C11E44" w:rsidTr="00C11E44">
        <w:trPr>
          <w:trHeight w:val="150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</w:pPr>
            <w:r>
              <w:t>Подпрограмма 1. «Развитие отраслей сельского хозяйства и перерабатывающей промышленности»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городского округа Зарайск Московская область</w:t>
            </w:r>
          </w:p>
        </w:tc>
      </w:tr>
      <w:tr w:rsidR="00C11E44" w:rsidTr="00C11E44">
        <w:trPr>
          <w:trHeight w:val="165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</w:pPr>
            <w:r>
              <w:t>Подпрограмма 2. «Вовлечение в оборот земель сельскохозяйственного назначения и развитие мелиорации»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городского округа Зарайск Московская область </w:t>
            </w:r>
          </w:p>
        </w:tc>
      </w:tr>
      <w:tr w:rsidR="00C11E44" w:rsidTr="00C11E44">
        <w:trPr>
          <w:trHeight w:val="195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</w:pPr>
            <w:r>
              <w:t>Подпрограмма 3. «Комплексное развитие сельских территорий»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городского округа Зарайск Московская область</w:t>
            </w:r>
          </w:p>
        </w:tc>
      </w:tr>
      <w:tr w:rsidR="00C11E44" w:rsidTr="00C11E44">
        <w:trPr>
          <w:trHeight w:val="360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jc w:val="both"/>
            </w:pPr>
            <w:r>
              <w:t>Подпрограмма 4. «Обеспечение эпизоотического и ветеринарно-</w:t>
            </w:r>
            <w:r>
              <w:lastRenderedPageBreak/>
              <w:t>санитарного благополучия и развитие государственной ветеринарной службы»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Администрация городского округа Зарайск Московская область</w:t>
            </w:r>
          </w:p>
        </w:tc>
      </w:tr>
      <w:tr w:rsidR="00C11E44" w:rsidTr="00C11E44"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1E44" w:rsidRDefault="00C11E44">
            <w:r>
              <w:lastRenderedPageBreak/>
              <w:t>Краткая характеристика подпрограмм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both"/>
            </w:pPr>
            <w:r>
              <w:t xml:space="preserve">Подпрограмма 1. Поддержка и стимулирование развития </w:t>
            </w:r>
            <w:proofErr w:type="spellStart"/>
            <w:r>
              <w:t>подотраслей</w:t>
            </w:r>
            <w:proofErr w:type="spellEnd"/>
            <w:r>
              <w:t xml:space="preserve"> растениеводства и животноводства, а также инвестиционной деятельности</w:t>
            </w:r>
          </w:p>
        </w:tc>
      </w:tr>
      <w:tr w:rsidR="00C11E44" w:rsidTr="00C11E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E44" w:rsidRDefault="00C11E44"/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both"/>
            </w:pPr>
            <w:r>
              <w:t>Подпрограмма 2. Создание условий для развития мелиоративных систем и гидротехнических сооружений в целях предотвращения выбытия из сельскохозяйственного оборота земель сельскохозяйственного назначения</w:t>
            </w:r>
          </w:p>
        </w:tc>
      </w:tr>
      <w:tr w:rsidR="00C11E44" w:rsidTr="00C11E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E44" w:rsidRDefault="00C11E44"/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both"/>
            </w:pPr>
            <w:r>
              <w:t>Подпрограмма 3. Реализация мероприятий по улучшению жилищных условий граждан, проживающих на сельских территориях, по обеспечению сельскохозяйственных организаций высококвалифицированными специалистами, по развитию инфраструктуры и торгового обслуживания</w:t>
            </w:r>
          </w:p>
        </w:tc>
      </w:tr>
      <w:tr w:rsidR="00C11E44" w:rsidTr="00C11E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E44" w:rsidRDefault="00C11E44"/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both"/>
            </w:pPr>
            <w:r>
              <w:t xml:space="preserve">Подпрограмма 4. Реализация ветеринарно-профилактических, противоэпизоотических мероприятий, диагностических исследований, финансирование переданных муниципальным образованиям государственных полномочий в области обращения с собаками без владельцев и по обустройству и содержанию сибиреязвенных скотомогильников, обеспечение деятельности государственных учреждений ветеринарии Московской области в целях обеспечения эпизоотического благополучия. </w:t>
            </w:r>
          </w:p>
        </w:tc>
      </w:tr>
      <w:tr w:rsidR="00C11E44" w:rsidTr="00C11E44">
        <w:trPr>
          <w:trHeight w:val="413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jc w:val="both"/>
            </w:pPr>
            <w:r>
              <w:t>Источники финансирования муниципальной программы, в том числе по годам реализации программы (тыс. рублей)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2027 год</w:t>
            </w:r>
          </w:p>
        </w:tc>
      </w:tr>
      <w:tr w:rsidR="00C11E44" w:rsidTr="00C11E44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tabs>
                <w:tab w:val="center" w:pos="4677"/>
                <w:tab w:val="right" w:pos="9355"/>
              </w:tabs>
            </w:pPr>
            <w:r>
              <w:t>Средства бюджета Московской области</w:t>
            </w:r>
          </w:p>
          <w:p w:rsidR="00C11E44" w:rsidRDefault="00C11E4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26 282,00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5 099,00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5 214,00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5 323,00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5323,00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5 323,00</w:t>
            </w:r>
          </w:p>
        </w:tc>
      </w:tr>
      <w:tr w:rsidR="00C11E44" w:rsidTr="00C11E44">
        <w:trPr>
          <w:trHeight w:val="4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</w:pPr>
            <w:r>
              <w:t xml:space="preserve">Средства бюджета городского округа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30 373,00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5 752,00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5 979,00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6 214,00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6 214,00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6 214,00</w:t>
            </w:r>
          </w:p>
        </w:tc>
      </w:tr>
      <w:tr w:rsidR="00C11E44" w:rsidTr="00C11E44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</w:pPr>
            <w:r>
              <w:t>Всего, в том числе по годам: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56 655,00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10 851,00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11 193,00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11 537,00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</w:pPr>
            <w:r>
              <w:rPr>
                <w:bCs/>
              </w:rPr>
              <w:t>11 537,00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</w:pPr>
            <w:r>
              <w:rPr>
                <w:bCs/>
              </w:rPr>
              <w:t>11 537,00</w:t>
            </w:r>
          </w:p>
        </w:tc>
      </w:tr>
    </w:tbl>
    <w:p w:rsidR="00C11E44" w:rsidRDefault="00C11E44" w:rsidP="00C11E44">
      <w:pPr>
        <w:autoSpaceDE w:val="0"/>
        <w:autoSpaceDN w:val="0"/>
        <w:adjustRightInd w:val="0"/>
        <w:jc w:val="center"/>
      </w:pPr>
    </w:p>
    <w:p w:rsidR="00C11E44" w:rsidRDefault="00C11E44" w:rsidP="00C11E44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</w:pPr>
      <w:r>
        <w:t>Краткая характеристика сферы реализации муниципальной программы городского округа Зарайск Московской области «Развитие сельского хозяйства» на 2023-2027 годы, в том числе формулировка основных проблем в указанной сфере, описание цели муниципальной программы городского округа Зарайск Московской области «Развитие сельского хозяйства» на 2023-2027 годы.</w:t>
      </w:r>
    </w:p>
    <w:p w:rsidR="00C11E44" w:rsidRDefault="00C11E44" w:rsidP="00C11E44">
      <w:pPr>
        <w:autoSpaceDE w:val="0"/>
        <w:autoSpaceDN w:val="0"/>
        <w:adjustRightInd w:val="0"/>
        <w:ind w:left="709"/>
        <w:rPr>
          <w:b/>
        </w:rPr>
      </w:pPr>
    </w:p>
    <w:p w:rsidR="00C11E44" w:rsidRDefault="00C11E44" w:rsidP="00C11E44">
      <w:pPr>
        <w:shd w:val="clear" w:color="auto" w:fill="FFFFFF"/>
        <w:ind w:firstLine="709"/>
        <w:jc w:val="both"/>
        <w:textAlignment w:val="top"/>
      </w:pPr>
      <w:r>
        <w:t xml:space="preserve">Муниципальная программа «Развитие сельского хозяйства» определяет цели, задачи и основные направления развития и регулирования агропромышленного комплекса, финансовое обеспечение и механизмы реализации мероприятий и показателей их </w:t>
      </w:r>
      <w:r>
        <w:lastRenderedPageBreak/>
        <w:t xml:space="preserve">результативности; предусматривает комплексное развитие всех отраслей и </w:t>
      </w:r>
      <w:proofErr w:type="spellStart"/>
      <w:r>
        <w:t>подотраслей</w:t>
      </w:r>
      <w:proofErr w:type="spellEnd"/>
      <w:r>
        <w:t xml:space="preserve">, а также сфер деятельности агропромышленного комплекса. </w:t>
      </w:r>
    </w:p>
    <w:p w:rsidR="00C11E44" w:rsidRDefault="00C11E44" w:rsidP="00C11E44">
      <w:pPr>
        <w:shd w:val="clear" w:color="auto" w:fill="FFFFFF"/>
        <w:ind w:firstLine="709"/>
        <w:jc w:val="both"/>
        <w:textAlignment w:val="top"/>
      </w:pPr>
      <w:r>
        <w:t xml:space="preserve">Главными приоритетами программы являются: поддержка и стимулирование развития </w:t>
      </w:r>
      <w:proofErr w:type="spellStart"/>
      <w:r>
        <w:t>подотраслей</w:t>
      </w:r>
      <w:proofErr w:type="spellEnd"/>
      <w:r>
        <w:t xml:space="preserve"> растениеводства и животноводства, а также инвестиционной деятельности; повышение эффективности использования природных ресурсов, продуктивности и устойчивости сельскохозяйственного производства средствами комплексной мелиорации, создание условий для предотвращения выбытия из сельскохозяйственного оборота земель сельскохозяйственного назначения, локализация и ликвидация очагов распространения борщевика Сосновского; развитие импортозамещающих </w:t>
      </w:r>
      <w:proofErr w:type="spellStart"/>
      <w:r>
        <w:t>подотраслей</w:t>
      </w:r>
      <w:proofErr w:type="spellEnd"/>
      <w:r>
        <w:t xml:space="preserve"> сельского хозяйства, модернизация и техническое перевооружение агропромышленного производства, обеспечение сельскохозяйственных организаций высококвалифицированными специалистами; развитие малых форм хозяйствования на селе, комплексное развитие сельских территорий; сохранение численности сельского населения, реализация ветеринарно-профилактических, противоэпизоотических мероприятий, диагностических исследований, осуществление государственных полномочий в области обращения с собаками без владельцев, обустройство и содержание сибиреязвенных скотомогильников, обеспечение деятельности государственных учреждений ветеринарии Московской области в целях поддержания благополучной эпизоотической обстановки на территории городского округа.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Сельское хозяйство – важнейшая сфера экономической деятельности городского округа Зарайск по производству сельскохозяйственной продукции и содействия комплексному развитию сельских территорий. В округе функционируют 6 сельскохозяйственных организаций, крестьянские (фермерские) хозяйства и личные подсобные хозяйства.</w:t>
      </w:r>
    </w:p>
    <w:p w:rsidR="00C11E44" w:rsidRDefault="00C11E44" w:rsidP="00C11E44">
      <w:pPr>
        <w:pStyle w:val="s1"/>
        <w:spacing w:before="0" w:beforeAutospacing="0" w:after="0" w:afterAutospacing="0"/>
        <w:ind w:firstLine="720"/>
        <w:jc w:val="both"/>
      </w:pPr>
      <w:r>
        <w:t>Основными проблемами в сфере реализации программы на текущем этапе являются недостаточность перерабатывающих мощностей, товарных направлений и групп; технологическая зависимость агропромышленного комплекса и зависимость от импортного семенного материала в растениеводстве, племенной продукции (материала) в животноводстве, ветеринарии, кормопроизводстве, хранении и переработке сельскохозяйственной продукции; торговые (тарифные и нетарифные) барьеры; низкие темпы обновления основных производственных фондов и воспроизводства природно-экологического потенциала; недостаточным притоком частных инвестиций; дефицит квалифицированных кадров, вызванный низким уровнем качества жизни в сельской местности.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 xml:space="preserve">В части благоустройства территорий городского округа важными проблемами остаются низкий уровень благоустройства села, доставка в малонаселенные, удаленные сельские пункты продуктов продовольственного и промышленного производства, рост количества безнадзорных животных, распространение ареала сорного растения - борщевик Сосновского, борьба с которым весьма </w:t>
      </w:r>
      <w:proofErr w:type="spellStart"/>
      <w:r>
        <w:t>трудозатратна</w:t>
      </w:r>
      <w:proofErr w:type="spellEnd"/>
      <w:r>
        <w:t xml:space="preserve"> на территории округа.</w:t>
      </w:r>
    </w:p>
    <w:p w:rsidR="00C11E44" w:rsidRDefault="00C11E44" w:rsidP="00C11E44">
      <w:pPr>
        <w:shd w:val="clear" w:color="auto" w:fill="FFFFFF"/>
        <w:ind w:firstLine="709"/>
        <w:jc w:val="both"/>
        <w:textAlignment w:val="top"/>
      </w:pPr>
      <w:r>
        <w:t>Цели муниципальной программы: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 xml:space="preserve">1. Обеспечение населения сельскохозяйственной продукцией и продовольствием собственного производства.   Достижение конкурентоспособности сельскохозяйственной продукции, производимой на территории округа, развитие импортозамещающих </w:t>
      </w:r>
      <w:proofErr w:type="spellStart"/>
      <w:r>
        <w:t>подотраслей</w:t>
      </w:r>
      <w:proofErr w:type="spellEnd"/>
      <w:r>
        <w:t xml:space="preserve"> сельского хозяйства, включая молочное скотоводство, модернизацию и техническое перевооружение агропромышленного производства, создание условий для предотвращения выбытия из сельскохозяйственного оборота земель сельскохозяйственного назначения и ежегодного вовлечения в сельскохозяйственный оборот неиспользуемых земель, а также сокращение земель округа засоренных борщевиком Сосновского, поддержка фермеров и развитие малых форм хозяйствования на селе, комплексное развитие сельских территорий, повышение качества и уровня жизни сельского населения, а также развитие торгового обслуживания на селе; 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2. Сохранение численности сельского населения. Р</w:t>
      </w:r>
      <w:r>
        <w:rPr>
          <w:shd w:val="clear" w:color="auto" w:fill="FFFFFF"/>
        </w:rPr>
        <w:t xml:space="preserve">еализация мер, направленных на повышение благосостояния и уровня занятости сельского населения, сохранение его доли в общей численности жителей городского округа, создание комфортных условий проживания, </w:t>
      </w:r>
      <w:r>
        <w:rPr>
          <w:shd w:val="clear" w:color="auto" w:fill="FFFFFF"/>
        </w:rPr>
        <w:lastRenderedPageBreak/>
        <w:t>включая развитие систем водоснабжения и водоотведения, средств связи и телекоммуникаций, увеличения уровня газификации, формирования доступных условий получения социальных услуг по направлению образования и здравоохранения, а также повышение качества дорожной инфраструктуры.</w:t>
      </w:r>
      <w:r>
        <w:t xml:space="preserve"> Развитие сельских территорий - с</w:t>
      </w:r>
      <w:r>
        <w:rPr>
          <w:shd w:val="clear" w:color="auto" w:fill="FFFFFF"/>
        </w:rPr>
        <w:t>охранение доли сельчан в общей численности населения, п</w:t>
      </w:r>
      <w:r>
        <w:t xml:space="preserve">овышение численности сельского населения в трудоспособном возрасте, привлечение новых рабочих мест; </w:t>
      </w:r>
      <w:r>
        <w:rPr>
          <w:shd w:val="clear" w:color="auto" w:fill="FFFFFF"/>
        </w:rPr>
        <w:t>стимулирование малого, среднего и крупного бизнеса к созданию новых рабочих мест в сельской местности.</w:t>
      </w:r>
      <w:r>
        <w:t xml:space="preserve"> Создание условий для обеспечения доступным комфортным жильем сельского населения. Улучшение жилищных условий граждан, проживающих на сельских территориях. Обеспечение доступности торгового обслуживания в сельских населенных пунктах, 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3. Обеспечение эпизоотического и ветеринарно-санитарного благополучия территории. Обеспечение устойчивой тенденции к улучшению и стабилизации эпизоотической ситуации по заразным, в том числе особо опасным, болезням животных, а также выпуску полноценных и безопасных в ветеринарном отношении продуктов животноводства и кормов на территории округа, ветеринарное обслуживание сельскохозяйственных предприятий АПК и хозяйств всех форм собственности на территории округа. 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владельцев, а также полномочий по оформлению сибиреязвенных скотомогильников в собственность Московской области, обустройству и содержанию сибиреязвенных скотомогильников.</w:t>
      </w:r>
    </w:p>
    <w:p w:rsidR="00C11E44" w:rsidRDefault="00C11E44" w:rsidP="00C11E44">
      <w:pPr>
        <w:autoSpaceDE w:val="0"/>
        <w:autoSpaceDN w:val="0"/>
        <w:adjustRightInd w:val="0"/>
        <w:ind w:left="567"/>
        <w:jc w:val="both"/>
      </w:pPr>
    </w:p>
    <w:p w:rsidR="00C11E44" w:rsidRDefault="00C11E44" w:rsidP="00C11E44">
      <w:pPr>
        <w:autoSpaceDE w:val="0"/>
        <w:autoSpaceDN w:val="0"/>
        <w:adjustRightInd w:val="0"/>
        <w:jc w:val="both"/>
      </w:pPr>
      <w:r>
        <w:t>3. Инерционный прогноз развития агропромышленного комплекса реализации муниципальной программы городского округа Зарайск Московской области «Развитие сельского хозяйства» на период 2023-2027 года с учетом ранее достигнутых результатов, а также предложения по решению проблем.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t>Агропромышленный комплекс демонстрирует уверенный рост, в том числе за счет поддержки государства, являясь одним из основных развивающихся направлений отечественной экономики, и оказывает непосредственное влияние на продовольственную безопасность и устойчивое социально-экономическое развитие государства. Наиболее важными задачами в сфере реализации муниципальной программы являются развитие отраслей агропромышленного комплекса с учетом технической и технологической модернизации, а также стимулирование инвестиционной активности в агропромышленном комплексе, а также</w:t>
      </w:r>
      <w:r>
        <w:rPr>
          <w:shd w:val="clear" w:color="auto" w:fill="FFFFFF"/>
        </w:rPr>
        <w:t xml:space="preserve"> социальное благополучие и высокие стандарты жизни граждан, качественное инфраструктурное развитие, продовольственная безопасность страны.</w:t>
      </w:r>
      <w:r>
        <w:t xml:space="preserve"> Для решения поставленных целей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Достижение поставленных целей и задач в рамках муниципальной программы позволит обеспечить прирост сельскохозяйственной продукции, полученной за счет применения новых технологий возделывания сельскохозяйственных культур отечественной селекции, сортов семян и племенной продукции (материала); реализовать условия для создания технологий, продукции, товаров и оказания услуг, обеспечивающих независимость и конкурентоспособность агропромышленного комплекса; обеспечить привлечение молодых специалистов в сельскохозяйственную сферу деятельности, тем самым не допустить снижения численности сельского населения.</w:t>
      </w:r>
    </w:p>
    <w:p w:rsidR="00C11E44" w:rsidRDefault="00C11E44" w:rsidP="00C11E44">
      <w:pPr>
        <w:autoSpaceDE w:val="0"/>
        <w:autoSpaceDN w:val="0"/>
        <w:adjustRightInd w:val="0"/>
        <w:jc w:val="both"/>
      </w:pPr>
      <w:r>
        <w:rPr>
          <w:shd w:val="clear" w:color="auto" w:fill="FFFFFF"/>
        </w:rPr>
        <w:tab/>
      </w:r>
      <w:r>
        <w:t>Программа предусматривает комплексное развитие всех отраслей и сфер сельского хозяйства. В прогнозном периоде в агропромышленном комплексе городского округа Зарайск Московской области будут преобладать следующие тенденции: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-создание условий для наращивания производства и </w:t>
      </w:r>
      <w:proofErr w:type="spellStart"/>
      <w:r>
        <w:t>импортозамещения</w:t>
      </w:r>
      <w:proofErr w:type="spellEnd"/>
      <w:r>
        <w:t xml:space="preserve"> основных видов сельхозпродукции (молоко и мясо);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-модернизация и техническое перевооружение агропромышленного производства;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-увеличение инвестиций в развитие сельскохозяйственного производства;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-развитие малых форм хозяйствования на селе;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-создание условий для обеспечения стабильного повышения качества и уровня жизни сельского населения;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-контроль популяций безнадзорных животных;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-вовлечение в оборот неиспользуемых земель, за счёт проведения культур-технических мероприятий;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-локализация и ликвидация борщевика Сосновского.</w:t>
      </w:r>
    </w:p>
    <w:p w:rsidR="00C11E44" w:rsidRDefault="00C11E44" w:rsidP="00C11E44">
      <w:pPr>
        <w:autoSpaceDE w:val="0"/>
        <w:autoSpaceDN w:val="0"/>
        <w:adjustRightInd w:val="0"/>
        <w:jc w:val="both"/>
      </w:pPr>
      <w:r>
        <w:tab/>
        <w:t>Реализация мероприятий Программы позволит: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-обеспечить население округа основными видами продуктов питания в соответствии с рекомендуемыми медицинскими нормами потребления;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-увеличить производство сельскохозяйственной продукции во всех категориях хозяйств (в сопоставимой оценке);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-довести долю прибыльных сельскохозяйственных организаций до 100 процентов;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-повысить инвестиционную привлекательность сельского хозяйства округа;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-улучшить жилищные условия граждан в сельской местности;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-снизить уровень безнадзорных животных;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-сократить площади земель городского округа Зарайск, пораженные борщевиком Сосновского.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 xml:space="preserve">       Оценка рисков. К основным рискам относятся: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 макроэкономические риски, включающие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 внешнеторговые риски, связанные с измерением конъюнктуры мирового рынка продовольствия и ценовыми колебаниями;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 природные риски, связанные с размещением сельхозпроизводства в зоне рискованного земледелия, что приводит к потерям объёмов производства и снижению доходов сельскохозяйственных товаропроизводителей.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 xml:space="preserve">     Управление рисками реализации программы будет осуществляться на основе использования мер, предусмотренных Федеральным законом от 25.07.2011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хозяйства», а также проведения мониторинга угроз развитию АПК и обеспечению продовольственной безопасности, выработки прогнозов, решений и рекомендаций в сфере управления АПК.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 xml:space="preserve">  Необходимо создать условия для скорейшего перевода отрасли на новую технологическую основу повышения её эффективности, что будет возможно только при обеспечении полноценного финансирования программы.</w:t>
      </w:r>
    </w:p>
    <w:p w:rsidR="00C11E44" w:rsidRDefault="00C11E44" w:rsidP="00C11E44">
      <w:pPr>
        <w:autoSpaceDE w:val="0"/>
        <w:autoSpaceDN w:val="0"/>
        <w:adjustRightInd w:val="0"/>
        <w:jc w:val="both"/>
      </w:pPr>
    </w:p>
    <w:p w:rsidR="00C11E44" w:rsidRDefault="00C11E44" w:rsidP="00C11E44">
      <w:pPr>
        <w:numPr>
          <w:ilvl w:val="0"/>
          <w:numId w:val="14"/>
        </w:numPr>
        <w:spacing w:after="200" w:line="276" w:lineRule="auto"/>
        <w:ind w:left="0" w:firstLine="0"/>
        <w:contextualSpacing/>
        <w:jc w:val="both"/>
        <w:rPr>
          <w:rFonts w:cs="Calibri"/>
        </w:rPr>
      </w:pPr>
      <w:r>
        <w:t>Методика расчета значений планируемых целевых показателей муниципальной программы городского округа Зарайск Московской области «Развитие сельского хозяйства» на период 2023-2027 годы.</w:t>
      </w:r>
    </w:p>
    <w:p w:rsidR="00C11E44" w:rsidRDefault="00C11E44" w:rsidP="00C11E44">
      <w:pPr>
        <w:ind w:left="720"/>
        <w:contextualSpacing/>
        <w:rPr>
          <w:rFonts w:cs="Calibri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401"/>
        <w:gridCol w:w="1276"/>
        <w:gridCol w:w="4677"/>
        <w:gridCol w:w="3259"/>
        <w:gridCol w:w="1701"/>
      </w:tblGrid>
      <w:tr w:rsidR="00C11E44" w:rsidTr="00C11E44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расчета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представления</w:t>
            </w:r>
          </w:p>
        </w:tc>
      </w:tr>
      <w:tr w:rsidR="00C11E44" w:rsidTr="00C11E44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E44" w:rsidTr="00C11E44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left="252" w:right="-108"/>
              <w:contextualSpacing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1. «Развитие отраслей сельского хозяйства и перерабатывающей промышленности»</w:t>
            </w:r>
          </w:p>
        </w:tc>
      </w:tr>
      <w:tr w:rsidR="00C11E44" w:rsidTr="00C11E44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государственной статистической отчетности: таблица «Индекс производства продукции сельского хозяйства в хозяйствах всех категорий» (предварительные данные)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год</w:t>
            </w:r>
          </w:p>
        </w:tc>
      </w:tr>
      <w:tr w:rsidR="00C11E44" w:rsidTr="00C11E44">
        <w:trPr>
          <w:trHeight w:val="224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left="252"/>
              <w:contextualSpacing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3. «Комплексное развитие сельских территорий»</w:t>
            </w:r>
          </w:p>
        </w:tc>
      </w:tr>
      <w:tr w:rsidR="00C11E44" w:rsidTr="00C11E44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сельского населения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определяется как отношение численности сельского населения Московской области отчетного года к численности сельского населения предыдущего года (недопущение сокращения)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государственной статистической отчетности: статистический сборник «Численность и состав населения Московской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год</w:t>
            </w:r>
          </w:p>
        </w:tc>
      </w:tr>
    </w:tbl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</w:p>
    <w:p w:rsidR="00C11E44" w:rsidRDefault="00C11E44" w:rsidP="00C11E44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0"/>
        <w:contextualSpacing/>
        <w:rPr>
          <w:sz w:val="16"/>
          <w:szCs w:val="16"/>
        </w:rPr>
      </w:pPr>
      <w:r>
        <w:t>Методика определения результатов выполнения мероприятий муниципальной программы городского округа Зарайск Московской области «Развитие сельского хозяйства» на период 2023-2027 годы.</w:t>
      </w:r>
    </w:p>
    <w:p w:rsidR="00C11E44" w:rsidRDefault="00C11E44" w:rsidP="00C11E44">
      <w:pPr>
        <w:widowControl w:val="0"/>
        <w:autoSpaceDE w:val="0"/>
        <w:autoSpaceDN w:val="0"/>
        <w:adjustRightInd w:val="0"/>
        <w:ind w:left="1080"/>
        <w:contextualSpacing/>
        <w:rPr>
          <w:sz w:val="16"/>
          <w:szCs w:val="16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559"/>
        <w:gridCol w:w="1559"/>
        <w:gridCol w:w="2834"/>
        <w:gridCol w:w="1276"/>
        <w:gridCol w:w="5669"/>
      </w:tblGrid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 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№ основного мероприятия </w:t>
            </w:r>
            <w:r>
              <w:rPr>
                <w:sz w:val="20"/>
                <w:szCs w:val="20"/>
                <w:lang w:val="en-US"/>
              </w:rPr>
              <w:t>YY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№ мероприятия 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определения значений</w:t>
            </w:r>
          </w:p>
        </w:tc>
      </w:tr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молока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тонн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определяется как объем производства молока в хозяйствах всех категорий. </w:t>
            </w:r>
            <w:r>
              <w:rPr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I=I1+I2+I3, где:</w:t>
            </w:r>
          </w:p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- Инвестиции в основной капитал, млн. руб.;</w:t>
            </w:r>
          </w:p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I1 - инвестиции по видам экономической деятельности Растениеводство и животноводство, охота и предоставление соответствующих услуг в этих областях млн. руб.;</w:t>
            </w:r>
          </w:p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I2  - инвестиции по видам экономической деятельности: Производство пищевых продуктов, млн. руб.;</w:t>
            </w:r>
          </w:p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I3 – инвестиции по видам экономической деятельности: Производство напитков» </w:t>
            </w:r>
          </w:p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рассчитывается ежеквартально нарастающим итогом на основании оперативных данных муниципальных образований, а также на основании данных статистической отчетности.</w:t>
            </w:r>
            <w:r>
              <w:rPr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земельных участков, находящихся в муниципальной </w:t>
            </w:r>
            <w:r>
              <w:rPr>
                <w:sz w:val="20"/>
                <w:szCs w:val="20"/>
              </w:rPr>
              <w:lastRenderedPageBreak/>
              <w:t>собственности, и государственная собственность на которые не разграничена, поставленных на государственный кадастровый 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определяется как сумма площадей земельных участков, находящихся в муниципальной собственности и государственная собственность на которые не </w:t>
            </w:r>
            <w:r>
              <w:rPr>
                <w:sz w:val="20"/>
                <w:szCs w:val="20"/>
              </w:rPr>
              <w:lastRenderedPageBreak/>
              <w:t>разграничена, , поставленных на государственный кадастровый учет в отчетном году.</w:t>
            </w:r>
            <w:r>
              <w:rPr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>
              <w:rPr>
                <w:sz w:val="20"/>
                <w:szCs w:val="20"/>
              </w:rPr>
              <w:t>культуртехнических</w:t>
            </w:r>
            <w:proofErr w:type="spellEnd"/>
            <w:r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определяется как сумма площадей земель, вовлеченных в сельскохозяйственный оборот за счет проведения </w:t>
            </w:r>
            <w:proofErr w:type="spellStart"/>
            <w:r>
              <w:rPr>
                <w:sz w:val="20"/>
                <w:szCs w:val="20"/>
              </w:rPr>
              <w:t>культуртехнических</w:t>
            </w:r>
            <w:proofErr w:type="spellEnd"/>
            <w:r>
              <w:rPr>
                <w:sz w:val="20"/>
                <w:szCs w:val="20"/>
              </w:rPr>
              <w:t xml:space="preserve"> работ в отчетном году на мелиорированных (орошаемых и (или) осушаемых) землях.</w:t>
            </w:r>
            <w:r>
              <w:rPr>
                <w:sz w:val="20"/>
                <w:szCs w:val="20"/>
              </w:rPr>
              <w:br/>
              <w:t>Периодичность представления – полугодие, 9 месяцев, год.</w:t>
            </w:r>
          </w:p>
        </w:tc>
      </w:tr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земель, обработанных от борщевика Сосновского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определяется как сумма площадей земель, обработанных от борщевика Сосновского.</w:t>
            </w:r>
            <w:r>
              <w:rPr>
                <w:sz w:val="20"/>
                <w:szCs w:val="20"/>
              </w:rPr>
              <w:br/>
              <w:t>Периодичность представления – полугодие, 9 месяцев, год.</w:t>
            </w:r>
          </w:p>
        </w:tc>
      </w:tr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квадратный 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определяется как сумма площадей построенного (приобретенного)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в отчетном году.</w:t>
            </w:r>
            <w:r>
              <w:rPr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сельских населенных пунктов, обслуживаемых по доставке продовольственных и промышленных товаров, в общем числе населенных пунктов, соответствующих критериям отбора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определяется как отношение обслуживаемых населенных пунктов к общему числу населенных пунктов Московской области,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области.</w:t>
            </w:r>
            <w:r>
              <w:rPr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собак без владельцев, подлежащих отлову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отловленных собак без владельцев.</w:t>
            </w:r>
            <w:r>
              <w:rPr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сибиреязвенных скотомогильников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сибиреязвенных скотомогильников.</w:t>
            </w:r>
            <w:r>
              <w:rPr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</w:tbl>
    <w:p w:rsidR="00C11E44" w:rsidRDefault="00C11E44" w:rsidP="00C11E44">
      <w:pPr>
        <w:autoSpaceDE w:val="0"/>
        <w:autoSpaceDN w:val="0"/>
        <w:adjustRightInd w:val="0"/>
        <w:ind w:left="142"/>
        <w:jc w:val="both"/>
      </w:pPr>
    </w:p>
    <w:p w:rsidR="00C11E44" w:rsidRDefault="00C11E44" w:rsidP="00C11E44">
      <w:pPr>
        <w:numPr>
          <w:ilvl w:val="0"/>
          <w:numId w:val="14"/>
        </w:numPr>
        <w:autoSpaceDE w:val="0"/>
        <w:autoSpaceDN w:val="0"/>
        <w:adjustRightInd w:val="0"/>
        <w:ind w:left="142"/>
        <w:jc w:val="both"/>
      </w:pPr>
      <w:r>
        <w:t xml:space="preserve"> Целевые показатели муниципальной программы городского округа Зарайск Московской области «Развитие сельского хозяйства» на 2023-2027 годы.</w:t>
      </w:r>
    </w:p>
    <w:p w:rsidR="00C11E44" w:rsidRDefault="00C11E44" w:rsidP="00C11E44">
      <w:pPr>
        <w:autoSpaceDE w:val="0"/>
        <w:autoSpaceDN w:val="0"/>
        <w:adjustRightInd w:val="0"/>
        <w:ind w:left="1080"/>
        <w:rPr>
          <w:b/>
        </w:rPr>
      </w:pPr>
    </w:p>
    <w:tbl>
      <w:tblPr>
        <w:tblW w:w="51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38"/>
        <w:gridCol w:w="2507"/>
        <w:gridCol w:w="1608"/>
        <w:gridCol w:w="1267"/>
        <w:gridCol w:w="109"/>
        <w:gridCol w:w="1170"/>
        <w:gridCol w:w="848"/>
        <w:gridCol w:w="848"/>
        <w:gridCol w:w="763"/>
        <w:gridCol w:w="790"/>
        <w:gridCol w:w="878"/>
        <w:gridCol w:w="1719"/>
        <w:gridCol w:w="1937"/>
      </w:tblGrid>
      <w:tr w:rsidR="00C11E44" w:rsidTr="00C11E44"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реализации муниципальной программы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значение показателя                      </w:t>
            </w:r>
          </w:p>
          <w:p w:rsidR="00C11E44" w:rsidRDefault="00C11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5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C11E44" w:rsidTr="00C11E44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51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11E44" w:rsidTr="00C11E44">
        <w:trPr>
          <w:trHeight w:val="297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населения сельскохозяйственной продукцией и продовольствием собственного производства</w:t>
            </w:r>
          </w:p>
        </w:tc>
      </w:tr>
      <w:tr w:rsidR="00C11E44" w:rsidTr="00C11E44">
        <w:trPr>
          <w:trHeight w:val="312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Приоритетный, отраслевой (показатель госпрограммы)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107,0 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107,0 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107,0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1.06.01</w:t>
            </w:r>
          </w:p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2.01.01</w:t>
            </w:r>
          </w:p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34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численности сельского населения</w:t>
            </w:r>
          </w:p>
        </w:tc>
      </w:tr>
      <w:tr w:rsidR="00C11E44" w:rsidTr="00C11E44">
        <w:trPr>
          <w:trHeight w:val="343"/>
        </w:trPr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both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сельского населения в общей численности населения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с ФОИВ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3.01.01</w:t>
            </w:r>
          </w:p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3.03.01</w:t>
            </w:r>
          </w:p>
        </w:tc>
      </w:tr>
    </w:tbl>
    <w:p w:rsidR="00C11E44" w:rsidRDefault="00C11E44" w:rsidP="00C11E44">
      <w:pPr>
        <w:autoSpaceDE w:val="0"/>
        <w:autoSpaceDN w:val="0"/>
        <w:adjustRightInd w:val="0"/>
        <w:ind w:left="720"/>
        <w:rPr>
          <w:b/>
        </w:rPr>
      </w:pPr>
    </w:p>
    <w:p w:rsidR="00C11E44" w:rsidRDefault="00C11E44" w:rsidP="00C11E44">
      <w:pPr>
        <w:numPr>
          <w:ilvl w:val="0"/>
          <w:numId w:val="14"/>
        </w:numPr>
        <w:autoSpaceDE w:val="0"/>
        <w:autoSpaceDN w:val="0"/>
        <w:adjustRightInd w:val="0"/>
        <w:ind w:left="0" w:hanging="284"/>
      </w:pPr>
      <w:r>
        <w:t>Перечень мероприятий подпрограммы 1. «Развитие отраслей сельского хозяйства и перерабатывающей промышленности».</w:t>
      </w:r>
    </w:p>
    <w:p w:rsidR="00C11E44" w:rsidRDefault="00C11E44" w:rsidP="00C11E44">
      <w:pPr>
        <w:autoSpaceDE w:val="0"/>
        <w:autoSpaceDN w:val="0"/>
        <w:adjustRightInd w:val="0"/>
        <w:ind w:hanging="284"/>
      </w:pPr>
    </w:p>
    <w:tbl>
      <w:tblPr>
        <w:tblW w:w="15360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2584"/>
        <w:gridCol w:w="1028"/>
        <w:gridCol w:w="1844"/>
        <w:gridCol w:w="1134"/>
        <w:gridCol w:w="917"/>
        <w:gridCol w:w="575"/>
        <w:gridCol w:w="577"/>
        <w:gridCol w:w="575"/>
        <w:gridCol w:w="592"/>
        <w:gridCol w:w="869"/>
        <w:gridCol w:w="8"/>
        <w:gridCol w:w="862"/>
        <w:gridCol w:w="907"/>
        <w:gridCol w:w="1014"/>
        <w:gridCol w:w="1487"/>
      </w:tblGrid>
      <w:tr w:rsidR="00C11E44" w:rsidTr="00C11E44">
        <w:trPr>
          <w:trHeight w:val="286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Подпрограммы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  <w:proofErr w:type="spellStart"/>
            <w:r>
              <w:rPr>
                <w:sz w:val="20"/>
                <w:szCs w:val="20"/>
              </w:rPr>
              <w:t>исполне-ния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меро-приятия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6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выполнение мероприятия Подпрограммы </w:t>
            </w:r>
          </w:p>
        </w:tc>
      </w:tr>
      <w:tr w:rsidR="00C11E44" w:rsidTr="00C11E44">
        <w:trPr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65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11E44" w:rsidTr="00C11E44">
        <w:trPr>
          <w:trHeight w:val="147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06.</w:t>
            </w:r>
          </w:p>
          <w:p w:rsidR="00C11E44" w:rsidRDefault="00C1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развития сельскохозяйственного производства, расширения рынка сельскохозяйственной </w:t>
            </w:r>
            <w:r>
              <w:rPr>
                <w:sz w:val="20"/>
                <w:szCs w:val="20"/>
              </w:rPr>
              <w:lastRenderedPageBreak/>
              <w:t>продукции, сырья и продовольствия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2023-2027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trHeight w:val="649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406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92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06.01 </w:t>
            </w:r>
          </w:p>
          <w:p w:rsidR="00C11E44" w:rsidRDefault="00C1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приоритетных отраслей АПК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сельского хозяйства и продовольствия Московской области, 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C11E44" w:rsidTr="00C11E44">
        <w:trPr>
          <w:trHeight w:val="339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91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79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молока в хозяйствах всех категорий, тыс. тонн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кварталам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trHeight w:val="60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336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471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напитков, млн рублей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59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06.02. Организация и проведение конкурсов и выставок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области, сельскохозяйственные товаропроизво</w:t>
            </w:r>
            <w:r>
              <w:rPr>
                <w:sz w:val="20"/>
                <w:szCs w:val="20"/>
              </w:rPr>
              <w:lastRenderedPageBreak/>
              <w:t>дители округа</w:t>
            </w:r>
          </w:p>
        </w:tc>
      </w:tr>
      <w:tr w:rsidR="00C11E44" w:rsidTr="00C11E44">
        <w:trPr>
          <w:trHeight w:val="361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361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22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конкурсов и выставочных мероприятий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кварталам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trHeight w:val="197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471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471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 1. «Развитие отраслей сельского хозяйства и перерабатывающей промышленности»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17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trHeight w:val="471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471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</w:tbl>
    <w:p w:rsidR="00C11E44" w:rsidRDefault="00C11E44" w:rsidP="00C11E44">
      <w:pPr>
        <w:rPr>
          <w:vanish/>
        </w:rPr>
      </w:pPr>
    </w:p>
    <w:p w:rsidR="00C11E44" w:rsidRDefault="00C11E44" w:rsidP="00C11E44">
      <w:pPr>
        <w:autoSpaceDE w:val="0"/>
        <w:autoSpaceDN w:val="0"/>
        <w:adjustRightInd w:val="0"/>
        <w:ind w:left="720"/>
      </w:pPr>
    </w:p>
    <w:p w:rsidR="00C11E44" w:rsidRDefault="00C11E44" w:rsidP="00C11E44">
      <w:pPr>
        <w:numPr>
          <w:ilvl w:val="0"/>
          <w:numId w:val="14"/>
        </w:numPr>
        <w:autoSpaceDE w:val="0"/>
        <w:autoSpaceDN w:val="0"/>
        <w:adjustRightInd w:val="0"/>
        <w:ind w:left="-426" w:firstLine="0"/>
      </w:pPr>
      <w:r>
        <w:t>Перечень мероприятий подпрограммы 2. «Вовлечение в оборот земель сельскохозяйственного назначения и развитие мелиорации».</w:t>
      </w:r>
    </w:p>
    <w:p w:rsidR="00C11E44" w:rsidRDefault="00C11E44" w:rsidP="00C11E44">
      <w:pPr>
        <w:autoSpaceDE w:val="0"/>
        <w:autoSpaceDN w:val="0"/>
        <w:adjustRightInd w:val="0"/>
        <w:ind w:left="-426"/>
      </w:pPr>
    </w:p>
    <w:tbl>
      <w:tblPr>
        <w:tblW w:w="15495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392"/>
        <w:gridCol w:w="1027"/>
        <w:gridCol w:w="1986"/>
        <w:gridCol w:w="992"/>
        <w:gridCol w:w="939"/>
        <w:gridCol w:w="447"/>
        <w:gridCol w:w="725"/>
        <w:gridCol w:w="693"/>
        <w:gridCol w:w="432"/>
        <w:gridCol w:w="26"/>
        <w:gridCol w:w="843"/>
        <w:gridCol w:w="8"/>
        <w:gridCol w:w="19"/>
        <w:gridCol w:w="903"/>
        <w:gridCol w:w="993"/>
        <w:gridCol w:w="942"/>
        <w:gridCol w:w="1595"/>
      </w:tblGrid>
      <w:tr w:rsidR="00C11E44" w:rsidTr="00C11E44">
        <w:trPr>
          <w:trHeight w:val="286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Подпрограммы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  <w:proofErr w:type="spellStart"/>
            <w:r>
              <w:rPr>
                <w:sz w:val="20"/>
                <w:szCs w:val="20"/>
              </w:rPr>
              <w:t>исполне-ния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меро-приятия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6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выполнение мероприятия Подпрограммы </w:t>
            </w:r>
          </w:p>
        </w:tc>
      </w:tr>
      <w:tr w:rsidR="00C11E44" w:rsidTr="00C11E44">
        <w:trPr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6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11E44" w:rsidTr="00C11E44">
        <w:trPr>
          <w:trHeight w:val="28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</w:t>
            </w:r>
          </w:p>
          <w:p w:rsidR="00C11E44" w:rsidRDefault="00C11E44">
            <w:pPr>
              <w:jc w:val="both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25048,00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trHeight w:val="731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83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25048,00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9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01.01</w:t>
            </w:r>
          </w:p>
          <w:p w:rsidR="00C11E44" w:rsidRDefault="00C11E44">
            <w:pPr>
              <w:jc w:val="both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</w:t>
            </w:r>
            <w:proofErr w:type="spellStart"/>
            <w:r>
              <w:rPr>
                <w:sz w:val="20"/>
                <w:szCs w:val="20"/>
              </w:rPr>
              <w:lastRenderedPageBreak/>
              <w:t>культуртехнических</w:t>
            </w:r>
            <w:proofErr w:type="spellEnd"/>
            <w:r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2023-2027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C11E44" w:rsidTr="00C11E44">
        <w:trPr>
          <w:trHeight w:val="981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610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56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земельных участков, находящихся в муниципальной собственности, и государственная собственность на которые не разграничена, поставленных на государственный кадастровый учет, га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кварталам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год 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trHeight w:val="154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083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199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>
              <w:rPr>
                <w:sz w:val="20"/>
                <w:szCs w:val="20"/>
              </w:rPr>
              <w:t>культуртехнических</w:t>
            </w:r>
            <w:proofErr w:type="spellEnd"/>
            <w:r>
              <w:rPr>
                <w:sz w:val="20"/>
                <w:szCs w:val="20"/>
              </w:rPr>
              <w:t xml:space="preserve"> мероприятий, тыс. га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99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01.02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25048,00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сельского хозяйства и продовольствия Московской области, 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C11E44" w:rsidTr="00C11E44">
        <w:trPr>
          <w:trHeight w:val="199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76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25048,00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02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земель, обработанных от борщевика Сосновского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кварталам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год 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48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07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394,4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394,4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323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 2. «Вовлечение в оборот земель сельскохозяйственного назначения и развитие мелиорации»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25048,00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trHeight w:val="495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480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25048,00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</w:tbl>
    <w:p w:rsidR="00C11E44" w:rsidRDefault="00C11E44" w:rsidP="00C11E44">
      <w:pPr>
        <w:autoSpaceDE w:val="0"/>
        <w:autoSpaceDN w:val="0"/>
        <w:adjustRightInd w:val="0"/>
        <w:ind w:left="360"/>
      </w:pPr>
    </w:p>
    <w:p w:rsidR="00C11E44" w:rsidRDefault="00C11E44" w:rsidP="00C11E44">
      <w:pPr>
        <w:numPr>
          <w:ilvl w:val="0"/>
          <w:numId w:val="14"/>
        </w:numPr>
        <w:autoSpaceDE w:val="0"/>
        <w:autoSpaceDN w:val="0"/>
        <w:adjustRightInd w:val="0"/>
        <w:ind w:left="0"/>
      </w:pPr>
      <w:r>
        <w:t xml:space="preserve">Перечень мероприятий подпрограммы 3. «Комплексное развитие сельских территорий». </w:t>
      </w:r>
    </w:p>
    <w:p w:rsidR="00C11E44" w:rsidRDefault="00C11E44" w:rsidP="00C11E44">
      <w:pPr>
        <w:autoSpaceDE w:val="0"/>
        <w:autoSpaceDN w:val="0"/>
        <w:adjustRightInd w:val="0"/>
      </w:pPr>
    </w:p>
    <w:tbl>
      <w:tblPr>
        <w:tblW w:w="1579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388"/>
        <w:gridCol w:w="17"/>
        <w:gridCol w:w="994"/>
        <w:gridCol w:w="76"/>
        <w:gridCol w:w="1923"/>
        <w:gridCol w:w="992"/>
        <w:gridCol w:w="977"/>
        <w:gridCol w:w="60"/>
        <w:gridCol w:w="515"/>
        <w:gridCol w:w="56"/>
        <w:gridCol w:w="521"/>
        <w:gridCol w:w="51"/>
        <w:gridCol w:w="524"/>
        <w:gridCol w:w="47"/>
        <w:gridCol w:w="509"/>
        <w:gridCol w:w="20"/>
        <w:gridCol w:w="887"/>
        <w:gridCol w:w="850"/>
        <w:gridCol w:w="921"/>
        <w:gridCol w:w="21"/>
        <w:gridCol w:w="993"/>
        <w:gridCol w:w="10"/>
        <w:gridCol w:w="1866"/>
        <w:gridCol w:w="10"/>
      </w:tblGrid>
      <w:tr w:rsidR="00C11E44" w:rsidTr="00C11E44">
        <w:trPr>
          <w:trHeight w:val="286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Подпрограммы 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  <w:proofErr w:type="spellStart"/>
            <w:r>
              <w:rPr>
                <w:sz w:val="20"/>
                <w:szCs w:val="20"/>
              </w:rPr>
              <w:t>исполне-ния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меро-приятия</w:t>
            </w:r>
            <w:proofErr w:type="spellEnd"/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6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выполнение мероприятия Подпрограммы </w:t>
            </w:r>
          </w:p>
        </w:tc>
      </w:tr>
      <w:tr w:rsidR="00C11E44" w:rsidTr="00C11E44">
        <w:trPr>
          <w:gridAfter w:val="1"/>
          <w:wAfter w:w="10" w:type="dxa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1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11E44" w:rsidTr="00C11E44">
        <w:trPr>
          <w:gridAfter w:val="1"/>
          <w:wAfter w:w="10" w:type="dxa"/>
          <w:trHeight w:val="19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 Создание условий для обеспечения доступным и комфортным жильем сельского населения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2023-2027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gridAfter w:val="1"/>
          <w:wAfter w:w="10" w:type="dxa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22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01.01</w:t>
            </w:r>
          </w:p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Улучшение жилищных условий граждан, проживающих на сельских территориях 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сельского хозяйства и продовольствия Московской области, 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C11E44" w:rsidTr="00C11E44">
        <w:trPr>
          <w:gridAfter w:val="1"/>
          <w:wAfter w:w="10" w:type="dxa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38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25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</w:t>
            </w:r>
            <w:r>
              <w:rPr>
                <w:sz w:val="20"/>
                <w:szCs w:val="20"/>
              </w:rPr>
              <w:lastRenderedPageBreak/>
              <w:t>улучшении жилищных условий, которым предоставлены целевые социальные выплаты, квадратный метр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кварталам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год 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gridAfter w:val="1"/>
          <w:wAfter w:w="10" w:type="dxa"/>
          <w:trHeight w:val="25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25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6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03. 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доступности торгового обслуживания в сельских населенных пунктах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14627,00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сельского хозяйства и продовольствия Московской области, 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C11E44" w:rsidTr="00C11E44">
        <w:trPr>
          <w:gridAfter w:val="1"/>
          <w:wAfter w:w="10" w:type="dxa"/>
          <w:trHeight w:val="101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12082,00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2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2545,00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10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03.01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14627,00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сельского хозяйства и продовольствия Московской области, 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C11E44" w:rsidTr="00C11E44">
        <w:trPr>
          <w:gridAfter w:val="1"/>
          <w:wAfter w:w="10" w:type="dxa"/>
          <w:trHeight w:val="99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12082,00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2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2545,00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34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сельских населенных пунктов, обслуживаемых по доставке продовольственных и промышленных товаров, в общем числе населенных пунктов, </w:t>
            </w:r>
            <w:r>
              <w:rPr>
                <w:sz w:val="20"/>
                <w:szCs w:val="20"/>
              </w:rPr>
              <w:lastRenderedPageBreak/>
              <w:t>соответствующих критериям отбора, процент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кварталам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год 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gridAfter w:val="1"/>
          <w:wAfter w:w="10" w:type="dxa"/>
          <w:trHeight w:val="17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34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39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 3. «Комплексное развитие сельских территорий»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14627,00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gridAfter w:val="1"/>
          <w:wAfter w:w="10" w:type="dxa"/>
          <w:trHeight w:val="72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12082,00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41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2545,00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</w:tbl>
    <w:p w:rsidR="00C11E44" w:rsidRDefault="00C11E44" w:rsidP="00C11E44">
      <w:pPr>
        <w:autoSpaceDE w:val="0"/>
        <w:autoSpaceDN w:val="0"/>
        <w:adjustRightInd w:val="0"/>
        <w:ind w:left="-426"/>
        <w:jc w:val="both"/>
      </w:pPr>
    </w:p>
    <w:p w:rsidR="00C11E44" w:rsidRDefault="00C11E44" w:rsidP="00C11E44">
      <w:pPr>
        <w:numPr>
          <w:ilvl w:val="0"/>
          <w:numId w:val="14"/>
        </w:numPr>
        <w:autoSpaceDE w:val="0"/>
        <w:autoSpaceDN w:val="0"/>
        <w:adjustRightInd w:val="0"/>
        <w:ind w:left="-426" w:hanging="66"/>
        <w:jc w:val="both"/>
      </w:pPr>
      <w:r>
        <w:t>Перечень мероприятий подпрограммы Подпрограмма 4. «Обеспечение эпизоотического и ветеринарно-санитарного благополучия и развитие государственной ветеринарной службы».</w:t>
      </w:r>
    </w:p>
    <w:p w:rsidR="00C11E44" w:rsidRDefault="00C11E44" w:rsidP="00C11E44">
      <w:pPr>
        <w:autoSpaceDE w:val="0"/>
        <w:autoSpaceDN w:val="0"/>
        <w:adjustRightInd w:val="0"/>
        <w:ind w:left="426"/>
        <w:jc w:val="both"/>
      </w:pPr>
    </w:p>
    <w:tbl>
      <w:tblPr>
        <w:tblW w:w="1590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389"/>
        <w:gridCol w:w="18"/>
        <w:gridCol w:w="1065"/>
        <w:gridCol w:w="1929"/>
        <w:gridCol w:w="992"/>
        <w:gridCol w:w="971"/>
        <w:gridCol w:w="6"/>
        <w:gridCol w:w="567"/>
        <w:gridCol w:w="567"/>
        <w:gridCol w:w="567"/>
        <w:gridCol w:w="582"/>
        <w:gridCol w:w="907"/>
        <w:gridCol w:w="906"/>
        <w:gridCol w:w="907"/>
        <w:gridCol w:w="992"/>
        <w:gridCol w:w="25"/>
        <w:gridCol w:w="1943"/>
      </w:tblGrid>
      <w:tr w:rsidR="00C11E44" w:rsidTr="00C11E44">
        <w:trPr>
          <w:trHeight w:val="286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Подпрограммы 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  <w:proofErr w:type="spellStart"/>
            <w:r>
              <w:rPr>
                <w:sz w:val="20"/>
                <w:szCs w:val="20"/>
              </w:rPr>
              <w:t>исполне-ния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меро-приятия</w:t>
            </w:r>
            <w:proofErr w:type="spellEnd"/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6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выполнение мероприятия Подпрограммы </w:t>
            </w:r>
          </w:p>
        </w:tc>
      </w:tr>
      <w:tr w:rsidR="00C11E44" w:rsidTr="00C11E44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 Сохранение ветеринарно-санитарного благополучия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ind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C11E44" w:rsidTr="00C11E44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353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8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01.01</w:t>
            </w:r>
          </w:p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C11E44" w:rsidTr="00C11E44">
        <w:trPr>
          <w:trHeight w:val="99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33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2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собак без владельцев, подлежащих отлову, голов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кварталам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trHeight w:val="17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93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4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01.02</w:t>
            </w:r>
          </w:p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ind w:right="-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C11E44" w:rsidTr="00C11E44">
        <w:trPr>
          <w:trHeight w:val="81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79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3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скотомогильников, единиц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2023 год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кварталам: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год 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trHeight w:val="14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52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7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 4. «Обеспечение эпизоотического и ветеринарно-санитарного благополучия и развитие государственной ветеринарной службы»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trHeight w:val="6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5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70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5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</w:tbl>
    <w:p w:rsidR="00C11E44" w:rsidRDefault="00C11E44" w:rsidP="00C11E44">
      <w:pPr>
        <w:rPr>
          <w:b/>
        </w:rPr>
      </w:pPr>
      <w:r>
        <w:t xml:space="preserve"> </w:t>
      </w: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BF614D">
      <w:type w:val="continuous"/>
      <w:pgSz w:w="16838" w:h="11906" w:orient="landscape" w:code="9"/>
      <w:pgMar w:top="1134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BC6657"/>
    <w:multiLevelType w:val="hybridMultilevel"/>
    <w:tmpl w:val="561E1416"/>
    <w:lvl w:ilvl="0" w:tplc="D9BCBA4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72E4090"/>
    <w:multiLevelType w:val="hybridMultilevel"/>
    <w:tmpl w:val="04F6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0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D3BC6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12A3"/>
    <w:rsid w:val="00BE4413"/>
    <w:rsid w:val="00BF614D"/>
    <w:rsid w:val="00C11E44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70F0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47B74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5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llowedHyperlink"/>
    <w:uiPriority w:val="99"/>
    <w:semiHidden/>
    <w:unhideWhenUsed/>
    <w:locked/>
    <w:rsid w:val="00C11E44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C11E44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C11E44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C11E44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C11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semiHidden/>
    <w:rsid w:val="00C11E44"/>
    <w:rPr>
      <w:rFonts w:ascii="Courier New" w:hAnsi="Courier New" w:cs="Courier New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locked/>
    <w:rsid w:val="00C11E44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C11E44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C11E44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C11E44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C11E4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C11E4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C11E4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C11E4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C11E4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C11E4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1">
    <w:name w:val="Normal Indent"/>
    <w:basedOn w:val="a"/>
    <w:uiPriority w:val="99"/>
    <w:semiHidden/>
    <w:unhideWhenUsed/>
    <w:locked/>
    <w:rsid w:val="00C11E44"/>
    <w:pPr>
      <w:ind w:left="708"/>
    </w:pPr>
  </w:style>
  <w:style w:type="paragraph" w:styleId="af2">
    <w:name w:val="footnote text"/>
    <w:basedOn w:val="a"/>
    <w:link w:val="af3"/>
    <w:uiPriority w:val="99"/>
    <w:semiHidden/>
    <w:unhideWhenUsed/>
    <w:locked/>
    <w:rsid w:val="00C11E44"/>
    <w:rPr>
      <w:rFonts w:ascii="Calibri" w:hAnsi="Calibri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C11E44"/>
    <w:rPr>
      <w:rFonts w:ascii="Calibri" w:hAnsi="Calibri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C11E4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semiHidden/>
    <w:rsid w:val="00C11E44"/>
    <w:rPr>
      <w:rFonts w:ascii="Calibri" w:eastAsia="Calibri" w:hAnsi="Calibri"/>
      <w:lang w:eastAsia="en-US"/>
    </w:rPr>
  </w:style>
  <w:style w:type="paragraph" w:styleId="af6">
    <w:name w:val="header"/>
    <w:basedOn w:val="a"/>
    <w:link w:val="af7"/>
    <w:uiPriority w:val="99"/>
    <w:semiHidden/>
    <w:unhideWhenUsed/>
    <w:locked/>
    <w:rsid w:val="00C11E4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C11E44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locked/>
    <w:rsid w:val="00C11E4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11E44"/>
    <w:rPr>
      <w:sz w:val="24"/>
      <w:szCs w:val="24"/>
    </w:rPr>
  </w:style>
  <w:style w:type="paragraph" w:styleId="afa">
    <w:name w:val="caption"/>
    <w:basedOn w:val="a"/>
    <w:next w:val="a"/>
    <w:uiPriority w:val="35"/>
    <w:semiHidden/>
    <w:unhideWhenUsed/>
    <w:qFormat/>
    <w:rsid w:val="00C11E44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locked/>
    <w:rsid w:val="00C11E44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uiPriority w:val="99"/>
    <w:semiHidden/>
    <w:rsid w:val="00C11E44"/>
    <w:rPr>
      <w:rFonts w:ascii="Calibri" w:eastAsia="Calibri" w:hAnsi="Calibri"/>
      <w:lang w:eastAsia="en-US"/>
    </w:rPr>
  </w:style>
  <w:style w:type="paragraph" w:styleId="afd">
    <w:name w:val="List"/>
    <w:basedOn w:val="a"/>
    <w:uiPriority w:val="99"/>
    <w:semiHidden/>
    <w:unhideWhenUsed/>
    <w:locked/>
    <w:rsid w:val="00C11E44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10"/>
    <w:qFormat/>
    <w:rsid w:val="00C11E44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link w:val="afe"/>
    <w:uiPriority w:val="10"/>
    <w:rsid w:val="00C11E4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0">
    <w:name w:val="Subtitle"/>
    <w:basedOn w:val="a"/>
    <w:next w:val="a"/>
    <w:link w:val="aff1"/>
    <w:uiPriority w:val="99"/>
    <w:qFormat/>
    <w:rsid w:val="00C11E44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1">
    <w:name w:val="Подзаголовок Знак"/>
    <w:link w:val="aff0"/>
    <w:uiPriority w:val="99"/>
    <w:rsid w:val="00C11E44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2">
    <w:name w:val="Date"/>
    <w:basedOn w:val="a"/>
    <w:next w:val="a"/>
    <w:link w:val="aff3"/>
    <w:uiPriority w:val="99"/>
    <w:semiHidden/>
    <w:unhideWhenUsed/>
    <w:locked/>
    <w:rsid w:val="00C11E44"/>
  </w:style>
  <w:style w:type="character" w:customStyle="1" w:styleId="aff3">
    <w:name w:val="Дата Знак"/>
    <w:link w:val="aff2"/>
    <w:uiPriority w:val="99"/>
    <w:semiHidden/>
    <w:rsid w:val="00C11E44"/>
    <w:rPr>
      <w:sz w:val="24"/>
      <w:szCs w:val="24"/>
    </w:rPr>
  </w:style>
  <w:style w:type="paragraph" w:styleId="aff4">
    <w:name w:val="Body Text First Indent"/>
    <w:basedOn w:val="a5"/>
    <w:link w:val="aff5"/>
    <w:uiPriority w:val="99"/>
    <w:semiHidden/>
    <w:unhideWhenUsed/>
    <w:locked/>
    <w:rsid w:val="00C11E44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link w:val="aff4"/>
    <w:uiPriority w:val="99"/>
    <w:semiHidden/>
    <w:rsid w:val="00C11E44"/>
    <w:rPr>
      <w:sz w:val="24"/>
      <w:szCs w:val="24"/>
    </w:rPr>
  </w:style>
  <w:style w:type="character" w:customStyle="1" w:styleId="aff6">
    <w:name w:val="Цитата Знак"/>
    <w:link w:val="aff7"/>
    <w:uiPriority w:val="29"/>
    <w:semiHidden/>
    <w:locked/>
    <w:rsid w:val="00C11E44"/>
    <w:rPr>
      <w:i/>
      <w:iCs/>
      <w:color w:val="000000"/>
      <w:sz w:val="22"/>
      <w:szCs w:val="22"/>
      <w:lang w:eastAsia="en-US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locked/>
    <w:rsid w:val="00C11E44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8">
    <w:name w:val="annotation subject"/>
    <w:basedOn w:val="af4"/>
    <w:next w:val="af4"/>
    <w:link w:val="aff9"/>
    <w:uiPriority w:val="99"/>
    <w:semiHidden/>
    <w:unhideWhenUsed/>
    <w:locked/>
    <w:rsid w:val="00C11E44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C11E44"/>
    <w:rPr>
      <w:rFonts w:ascii="Calibri" w:eastAsia="Calibri" w:hAnsi="Calibri"/>
      <w:b/>
      <w:bCs/>
      <w:lang w:eastAsia="en-US"/>
    </w:rPr>
  </w:style>
  <w:style w:type="paragraph" w:styleId="affa">
    <w:name w:val="Revision"/>
    <w:uiPriority w:val="99"/>
    <w:semiHidden/>
    <w:rsid w:val="00C11E44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C11E44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C11E44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C11E44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b">
    <w:name w:val="Intense Quote"/>
    <w:basedOn w:val="a"/>
    <w:next w:val="a"/>
    <w:link w:val="affc"/>
    <w:uiPriority w:val="30"/>
    <w:qFormat/>
    <w:rsid w:val="00C11E4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c">
    <w:name w:val="Выделенная цитата Знак"/>
    <w:link w:val="affb"/>
    <w:uiPriority w:val="30"/>
    <w:rsid w:val="00C11E44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0"/>
    <w:next w:val="a"/>
    <w:uiPriority w:val="39"/>
    <w:semiHidden/>
    <w:unhideWhenUsed/>
    <w:qFormat/>
    <w:rsid w:val="00C11E44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11E4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C11E44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C11E44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C11E44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11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11E4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e">
    <w:name w:val="Основной текст_"/>
    <w:link w:val="28"/>
    <w:locked/>
    <w:rsid w:val="00C11E44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e"/>
    <w:rsid w:val="00C11E44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">
    <w:name w:val="Знак"/>
    <w:basedOn w:val="a"/>
    <w:uiPriority w:val="99"/>
    <w:rsid w:val="00C11E4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C11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C11E44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C11E44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C11E44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C11E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C11E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C11E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C11E44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C11E44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C11E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C11E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C11E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C11E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C11E44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C11E44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C11E44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C11E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C11E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C11E44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11E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C11E44"/>
  </w:style>
  <w:style w:type="paragraph" w:customStyle="1" w:styleId="16">
    <w:name w:val="Абзац списка1"/>
    <w:basedOn w:val="a"/>
    <w:link w:val="ListParagraphChar"/>
    <w:rsid w:val="00C11E44"/>
    <w:pPr>
      <w:spacing w:after="200" w:line="276" w:lineRule="auto"/>
      <w:ind w:left="720"/>
    </w:pPr>
    <w:rPr>
      <w:sz w:val="20"/>
      <w:szCs w:val="20"/>
    </w:rPr>
  </w:style>
  <w:style w:type="paragraph" w:customStyle="1" w:styleId="afff0">
    <w:name w:val="_Текст"/>
    <w:basedOn w:val="a"/>
    <w:uiPriority w:val="99"/>
    <w:rsid w:val="00C11E44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C11E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C11E4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C11E44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C11E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C11E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C11E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C11E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C11E4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C11E4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C11E44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C11E44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C11E4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C11E44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C11E44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1">
    <w:name w:val="Нормальный (таблица)"/>
    <w:basedOn w:val="a"/>
    <w:next w:val="a"/>
    <w:uiPriority w:val="99"/>
    <w:rsid w:val="00C11E4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C11E44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1">
    <w:name w:val="s_1"/>
    <w:basedOn w:val="a"/>
    <w:uiPriority w:val="99"/>
    <w:rsid w:val="00C11E44"/>
    <w:pPr>
      <w:spacing w:before="100" w:beforeAutospacing="1" w:after="100" w:afterAutospacing="1"/>
    </w:pPr>
  </w:style>
  <w:style w:type="character" w:styleId="afff2">
    <w:name w:val="footnote reference"/>
    <w:uiPriority w:val="99"/>
    <w:semiHidden/>
    <w:unhideWhenUsed/>
    <w:locked/>
    <w:rsid w:val="00C11E44"/>
    <w:rPr>
      <w:vertAlign w:val="superscript"/>
    </w:rPr>
  </w:style>
  <w:style w:type="character" w:styleId="afff3">
    <w:name w:val="annotation reference"/>
    <w:uiPriority w:val="99"/>
    <w:semiHidden/>
    <w:unhideWhenUsed/>
    <w:locked/>
    <w:rsid w:val="00C11E44"/>
    <w:rPr>
      <w:sz w:val="16"/>
      <w:szCs w:val="16"/>
    </w:rPr>
  </w:style>
  <w:style w:type="character" w:styleId="afff4">
    <w:name w:val="endnote reference"/>
    <w:uiPriority w:val="99"/>
    <w:semiHidden/>
    <w:unhideWhenUsed/>
    <w:locked/>
    <w:rsid w:val="00C11E44"/>
    <w:rPr>
      <w:vertAlign w:val="superscript"/>
    </w:rPr>
  </w:style>
  <w:style w:type="character" w:styleId="afff5">
    <w:name w:val="Placeholder Text"/>
    <w:uiPriority w:val="99"/>
    <w:semiHidden/>
    <w:rsid w:val="00C11E44"/>
    <w:rPr>
      <w:color w:val="808080"/>
    </w:rPr>
  </w:style>
  <w:style w:type="character" w:styleId="afff6">
    <w:name w:val="Subtle Emphasis"/>
    <w:uiPriority w:val="19"/>
    <w:qFormat/>
    <w:rsid w:val="00C11E44"/>
    <w:rPr>
      <w:i/>
      <w:iCs/>
      <w:color w:val="808080"/>
    </w:rPr>
  </w:style>
  <w:style w:type="character" w:styleId="afff7">
    <w:name w:val="Intense Emphasis"/>
    <w:uiPriority w:val="21"/>
    <w:qFormat/>
    <w:rsid w:val="00C11E44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C11E44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C11E44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C11E44"/>
    <w:rPr>
      <w:b/>
      <w:bCs/>
      <w:smallCaps/>
      <w:spacing w:val="5"/>
    </w:rPr>
  </w:style>
  <w:style w:type="character" w:customStyle="1" w:styleId="18">
    <w:name w:val="Основной текст1"/>
    <w:rsid w:val="00C11E44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C11E44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C11E44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C11E44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C11E44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C11E44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C11E44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C11E44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C11E44"/>
    <w:rPr>
      <w:color w:val="808080"/>
    </w:rPr>
  </w:style>
  <w:style w:type="character" w:customStyle="1" w:styleId="Heading1Char">
    <w:name w:val="Heading 1 Char"/>
    <w:locked/>
    <w:rsid w:val="00C11E44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C11E44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C11E44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C11E44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C11E44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C11E44"/>
    <w:rPr>
      <w:lang w:eastAsia="en-US"/>
    </w:rPr>
  </w:style>
  <w:style w:type="character" w:customStyle="1" w:styleId="2b">
    <w:name w:val="Основной текст (2)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C11E44"/>
    <w:rPr>
      <w:rFonts w:ascii="Arial Narrow" w:hAnsi="Arial Narrow" w:hint="default"/>
      <w:spacing w:val="10"/>
      <w:sz w:val="22"/>
    </w:rPr>
  </w:style>
  <w:style w:type="character" w:customStyle="1" w:styleId="link">
    <w:name w:val="link"/>
    <w:rsid w:val="00C11E44"/>
  </w:style>
  <w:style w:type="table" w:styleId="-3">
    <w:name w:val="Light Shading Accent 3"/>
    <w:basedOn w:val="a1"/>
    <w:uiPriority w:val="60"/>
    <w:rsid w:val="00C11E44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C11E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C11E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C11E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C11E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C11E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C11E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C11E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C11E44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1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4786</Words>
  <Characters>27283</Characters>
  <Application>Microsoft Office Word</Application>
  <DocSecurity>0</DocSecurity>
  <Lines>227</Lines>
  <Paragraphs>64</Paragraphs>
  <ScaleCrop>false</ScaleCrop>
  <Company>Финуправление г.Зарайск</Company>
  <LinksUpToDate>false</LinksUpToDate>
  <CharactersWithSpaces>32005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Аня</cp:lastModifiedBy>
  <cp:revision>2</cp:revision>
  <cp:lastPrinted>2018-04-10T11:10:00Z</cp:lastPrinted>
  <dcterms:created xsi:type="dcterms:W3CDTF">2023-01-12T06:39:00Z</dcterms:created>
  <dcterms:modified xsi:type="dcterms:W3CDTF">2023-01-12T06:39:00Z</dcterms:modified>
</cp:coreProperties>
</file>