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35" w:rsidRDefault="002419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1B2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C92D64" w:rsidRPr="006B29F2" w:rsidRDefault="002419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6E0409">
        <w:rPr>
          <w:rFonts w:ascii="Times New Roman" w:hAnsi="Times New Roman" w:cs="Times New Roman"/>
          <w:sz w:val="24"/>
          <w:szCs w:val="24"/>
        </w:rPr>
        <w:t>от</w:t>
      </w:r>
      <w:r w:rsidR="0051471A">
        <w:rPr>
          <w:rFonts w:ascii="Times New Roman" w:hAnsi="Times New Roman" w:cs="Times New Roman"/>
          <w:sz w:val="24"/>
          <w:szCs w:val="24"/>
        </w:rPr>
        <w:t xml:space="preserve">      №   </w:t>
      </w:r>
    </w:p>
    <w:p w:rsidR="00C92D64" w:rsidRDefault="00C92D64">
      <w:pPr>
        <w:pStyle w:val="ConsPlusNonformat"/>
        <w:jc w:val="both"/>
      </w:pPr>
    </w:p>
    <w:p w:rsidR="00C92D64" w:rsidRPr="007B5315" w:rsidRDefault="00C92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0"/>
      <w:bookmarkEnd w:id="1"/>
      <w:r w:rsidRPr="007B5315">
        <w:rPr>
          <w:rFonts w:ascii="Times New Roman" w:hAnsi="Times New Roman" w:cs="Times New Roman"/>
          <w:sz w:val="24"/>
          <w:szCs w:val="24"/>
        </w:rPr>
        <w:t xml:space="preserve">      </w:t>
      </w:r>
      <w:r w:rsidR="00D55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5315">
        <w:rPr>
          <w:rFonts w:ascii="Times New Roman" w:hAnsi="Times New Roman" w:cs="Times New Roman"/>
          <w:sz w:val="24"/>
          <w:szCs w:val="24"/>
        </w:rPr>
        <w:t xml:space="preserve"> ОТЧЕТ</w:t>
      </w:r>
    </w:p>
    <w:p w:rsidR="00C92D64" w:rsidRPr="007B5315" w:rsidRDefault="00C64F40" w:rsidP="001C1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 получателя, источником которых является субсидия </w:t>
      </w:r>
      <w:r w:rsidR="00C161FF" w:rsidRPr="00C161FF">
        <w:rPr>
          <w:rFonts w:ascii="Times New Roman" w:hAnsi="Times New Roman" w:cs="Times New Roman"/>
          <w:sz w:val="24"/>
          <w:szCs w:val="24"/>
        </w:rPr>
        <w:t>из бюджета городского округа Зарайск Московской области муниципальным унитарным предприятиям (муниципальным предприятиям) городского округа Зарайск Московской области на финансовое обеспечение затрат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 для завершения процедуры ликвидации указанных предприятий</w:t>
      </w:r>
    </w:p>
    <w:p w:rsidR="00C92D64" w:rsidRPr="007B5315" w:rsidRDefault="00C92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315">
        <w:rPr>
          <w:rFonts w:ascii="Times New Roman" w:hAnsi="Times New Roman" w:cs="Times New Roman"/>
          <w:sz w:val="24"/>
          <w:szCs w:val="24"/>
        </w:rPr>
        <w:t xml:space="preserve"> </w:t>
      </w:r>
      <w:r w:rsidR="00D5513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5315">
        <w:rPr>
          <w:rFonts w:ascii="Times New Roman" w:hAnsi="Times New Roman" w:cs="Times New Roman"/>
          <w:sz w:val="24"/>
          <w:szCs w:val="24"/>
        </w:rPr>
        <w:t xml:space="preserve"> </w:t>
      </w:r>
      <w:r w:rsidR="00D55139">
        <w:rPr>
          <w:rFonts w:ascii="Times New Roman" w:hAnsi="Times New Roman" w:cs="Times New Roman"/>
          <w:sz w:val="24"/>
          <w:szCs w:val="24"/>
        </w:rPr>
        <w:t xml:space="preserve">   </w:t>
      </w:r>
      <w:r w:rsidRPr="007B53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51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2BC0">
        <w:rPr>
          <w:rFonts w:ascii="Times New Roman" w:hAnsi="Times New Roman" w:cs="Times New Roman"/>
          <w:sz w:val="24"/>
          <w:szCs w:val="24"/>
        </w:rPr>
        <w:t xml:space="preserve">         по состоянию на _____________</w:t>
      </w:r>
      <w:r w:rsidRPr="007B5315">
        <w:rPr>
          <w:rFonts w:ascii="Times New Roman" w:hAnsi="Times New Roman" w:cs="Times New Roman"/>
          <w:sz w:val="24"/>
          <w:szCs w:val="24"/>
        </w:rPr>
        <w:t xml:space="preserve"> 20___ года</w:t>
      </w:r>
    </w:p>
    <w:p w:rsidR="00C92D64" w:rsidRPr="00C161FF" w:rsidRDefault="00C92D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1F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55139" w:rsidRPr="00C16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C161FF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C161FF">
        <w:rPr>
          <w:rFonts w:ascii="Times New Roman" w:hAnsi="Times New Roman" w:cs="Times New Roman"/>
          <w:sz w:val="18"/>
          <w:szCs w:val="18"/>
        </w:rPr>
        <w:t xml:space="preserve">     (период с начала года)</w:t>
      </w:r>
    </w:p>
    <w:p w:rsidR="00C161FF" w:rsidRPr="007B5315" w:rsidRDefault="00C1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предприятие _____________________________________________________________________________</w:t>
      </w:r>
    </w:p>
    <w:p w:rsidR="00C92D64" w:rsidRPr="007B5315" w:rsidRDefault="00C92D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315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361"/>
        <w:gridCol w:w="680"/>
        <w:gridCol w:w="850"/>
        <w:gridCol w:w="2154"/>
        <w:gridCol w:w="1701"/>
        <w:gridCol w:w="2098"/>
        <w:gridCol w:w="2381"/>
      </w:tblGrid>
      <w:tr w:rsidR="00011854" w:rsidTr="00011854">
        <w:tc>
          <w:tcPr>
            <w:tcW w:w="567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Код целевой субсидии / Наименование учреждения</w:t>
            </w:r>
          </w:p>
        </w:tc>
        <w:tc>
          <w:tcPr>
            <w:tcW w:w="1702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Наименование работ, услуг, оборудования и т.д.</w:t>
            </w:r>
          </w:p>
        </w:tc>
        <w:tc>
          <w:tcPr>
            <w:tcW w:w="1361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Плановые назначения</w:t>
            </w:r>
          </w:p>
        </w:tc>
        <w:tc>
          <w:tcPr>
            <w:tcW w:w="1530" w:type="dxa"/>
            <w:gridSpan w:val="2"/>
          </w:tcPr>
          <w:p w:rsidR="00011854" w:rsidRPr="00831C24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C24">
              <w:rPr>
                <w:rFonts w:ascii="Times New Roman" w:hAnsi="Times New Roman" w:cs="Times New Roman"/>
              </w:rPr>
              <w:t>Заключенные контракты и договоры</w:t>
            </w:r>
            <w:r w:rsidR="00B9792D">
              <w:rPr>
                <w:rFonts w:ascii="Times New Roman" w:hAnsi="Times New Roman" w:cs="Times New Roman"/>
              </w:rPr>
              <w:t xml:space="preserve"> или мероприятия</w:t>
            </w:r>
          </w:p>
        </w:tc>
        <w:tc>
          <w:tcPr>
            <w:tcW w:w="2154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Фактически профинансировано</w:t>
            </w:r>
          </w:p>
        </w:tc>
        <w:tc>
          <w:tcPr>
            <w:tcW w:w="1701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Фактически израсходовано (кассовые расходы)</w:t>
            </w:r>
          </w:p>
        </w:tc>
        <w:tc>
          <w:tcPr>
            <w:tcW w:w="2098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Остатки неиспользованных средств (на конец отчетного периода)</w:t>
            </w:r>
          </w:p>
        </w:tc>
        <w:tc>
          <w:tcPr>
            <w:tcW w:w="2381" w:type="dxa"/>
            <w:vMerge w:val="restart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Причины недофинансирования или неиспользования средств</w:t>
            </w:r>
          </w:p>
        </w:tc>
      </w:tr>
      <w:tr w:rsidR="00011854" w:rsidTr="00011854">
        <w:tc>
          <w:tcPr>
            <w:tcW w:w="567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11854" w:rsidRPr="00831C24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C24">
              <w:rPr>
                <w:rFonts w:ascii="Times New Roman" w:hAnsi="Times New Roman" w:cs="Times New Roman"/>
              </w:rPr>
              <w:t>Дата и N</w:t>
            </w:r>
          </w:p>
        </w:tc>
        <w:tc>
          <w:tcPr>
            <w:tcW w:w="850" w:type="dxa"/>
          </w:tcPr>
          <w:p w:rsidR="00011854" w:rsidRPr="00831C24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C2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54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011854" w:rsidRPr="007B5315" w:rsidRDefault="00011854">
            <w:pPr>
              <w:rPr>
                <w:rFonts w:ascii="Times New Roman" w:hAnsi="Times New Roman" w:cs="Times New Roman"/>
              </w:rPr>
            </w:pPr>
          </w:p>
        </w:tc>
      </w:tr>
      <w:tr w:rsidR="00011854" w:rsidTr="00011854">
        <w:tc>
          <w:tcPr>
            <w:tcW w:w="567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</w:tcPr>
          <w:p w:rsidR="00011854" w:rsidRPr="007B5315" w:rsidRDefault="0001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10</w:t>
            </w:r>
          </w:p>
        </w:tc>
      </w:tr>
      <w:tr w:rsidR="00011854" w:rsidTr="00011854">
        <w:tc>
          <w:tcPr>
            <w:tcW w:w="567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2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36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68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85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154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098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381" w:type="dxa"/>
          </w:tcPr>
          <w:p w:rsidR="00011854" w:rsidRDefault="00011854">
            <w:pPr>
              <w:pStyle w:val="ConsPlusNormal"/>
            </w:pPr>
          </w:p>
        </w:tc>
      </w:tr>
      <w:tr w:rsidR="00011854" w:rsidTr="00011854">
        <w:tc>
          <w:tcPr>
            <w:tcW w:w="567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Pr="007B5315" w:rsidRDefault="00011854" w:rsidP="00011854">
            <w:pPr>
              <w:pStyle w:val="ConsPlusNormal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Итого по целевой субсидии</w:t>
            </w:r>
          </w:p>
        </w:tc>
        <w:tc>
          <w:tcPr>
            <w:tcW w:w="1702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36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68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85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154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098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381" w:type="dxa"/>
          </w:tcPr>
          <w:p w:rsidR="00011854" w:rsidRDefault="00011854">
            <w:pPr>
              <w:pStyle w:val="ConsPlusNormal"/>
            </w:pPr>
          </w:p>
        </w:tc>
      </w:tr>
      <w:tr w:rsidR="00011854" w:rsidTr="00011854">
        <w:tc>
          <w:tcPr>
            <w:tcW w:w="567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Pr="007B5315" w:rsidRDefault="000118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531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2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36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68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850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154" w:type="dxa"/>
          </w:tcPr>
          <w:p w:rsidR="00011854" w:rsidRDefault="00011854">
            <w:pPr>
              <w:pStyle w:val="ConsPlusNormal"/>
            </w:pPr>
          </w:p>
        </w:tc>
        <w:tc>
          <w:tcPr>
            <w:tcW w:w="1701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098" w:type="dxa"/>
          </w:tcPr>
          <w:p w:rsidR="00011854" w:rsidRDefault="00011854">
            <w:pPr>
              <w:pStyle w:val="ConsPlusNormal"/>
            </w:pPr>
          </w:p>
        </w:tc>
        <w:tc>
          <w:tcPr>
            <w:tcW w:w="2381" w:type="dxa"/>
          </w:tcPr>
          <w:p w:rsidR="00011854" w:rsidRDefault="00011854">
            <w:pPr>
              <w:pStyle w:val="ConsPlusNormal"/>
            </w:pPr>
          </w:p>
        </w:tc>
      </w:tr>
    </w:tbl>
    <w:p w:rsidR="00C92D64" w:rsidRDefault="00C92D64">
      <w:pPr>
        <w:pStyle w:val="ConsPlusNormal"/>
        <w:jc w:val="both"/>
      </w:pPr>
    </w:p>
    <w:p w:rsidR="00C92D64" w:rsidRPr="007B5315" w:rsidRDefault="00C92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315">
        <w:rPr>
          <w:rFonts w:ascii="Times New Roman" w:hAnsi="Times New Roman" w:cs="Times New Roman"/>
          <w:sz w:val="24"/>
          <w:szCs w:val="24"/>
        </w:rPr>
        <w:t>Руководитель _____________ ________________________________________________</w:t>
      </w:r>
    </w:p>
    <w:p w:rsidR="00C92D64" w:rsidRPr="007B5315" w:rsidRDefault="00C92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3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3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531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B53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5315"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C92D64" w:rsidRPr="007B5315" w:rsidRDefault="00C92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315">
        <w:rPr>
          <w:rFonts w:ascii="Times New Roman" w:hAnsi="Times New Roman" w:cs="Times New Roman"/>
          <w:sz w:val="24"/>
          <w:szCs w:val="24"/>
        </w:rPr>
        <w:t>Исполнитель _______________ _____________ _________________________________</w:t>
      </w:r>
    </w:p>
    <w:p w:rsidR="00C92D64" w:rsidRDefault="00C92D64" w:rsidP="00846562">
      <w:pPr>
        <w:pStyle w:val="ConsPlusNonformat"/>
        <w:jc w:val="both"/>
      </w:pPr>
      <w:r w:rsidRPr="007B53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3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31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B531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B5315">
        <w:rPr>
          <w:rFonts w:ascii="Times New Roman" w:hAnsi="Times New Roman" w:cs="Times New Roman"/>
          <w:sz w:val="24"/>
          <w:szCs w:val="24"/>
        </w:rPr>
        <w:t xml:space="preserve">  (подпись)          (расшифровка подписи)</w:t>
      </w:r>
      <w:r w:rsidR="007B5315">
        <w:t xml:space="preserve"> </w:t>
      </w:r>
    </w:p>
    <w:p w:rsidR="00C92D64" w:rsidRDefault="00C92D64">
      <w:pPr>
        <w:pStyle w:val="ConsPlusNormal"/>
        <w:jc w:val="both"/>
      </w:pPr>
    </w:p>
    <w:sectPr w:rsidR="00C92D64" w:rsidSect="00C04E27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64"/>
    <w:rsid w:val="00011854"/>
    <w:rsid w:val="00077312"/>
    <w:rsid w:val="000B5E4A"/>
    <w:rsid w:val="000D1969"/>
    <w:rsid w:val="000E2BC0"/>
    <w:rsid w:val="000E53ED"/>
    <w:rsid w:val="001A3AB0"/>
    <w:rsid w:val="001C1EC6"/>
    <w:rsid w:val="001D4E4E"/>
    <w:rsid w:val="001E34BA"/>
    <w:rsid w:val="001F228C"/>
    <w:rsid w:val="002208CC"/>
    <w:rsid w:val="002246E6"/>
    <w:rsid w:val="00241935"/>
    <w:rsid w:val="002C1C48"/>
    <w:rsid w:val="002E1138"/>
    <w:rsid w:val="00301103"/>
    <w:rsid w:val="00376A95"/>
    <w:rsid w:val="003C01BF"/>
    <w:rsid w:val="003D793A"/>
    <w:rsid w:val="00405474"/>
    <w:rsid w:val="00481D0F"/>
    <w:rsid w:val="00491B15"/>
    <w:rsid w:val="004C3614"/>
    <w:rsid w:val="004D7A1D"/>
    <w:rsid w:val="004E6D12"/>
    <w:rsid w:val="00512916"/>
    <w:rsid w:val="0051346C"/>
    <w:rsid w:val="0051471A"/>
    <w:rsid w:val="00531098"/>
    <w:rsid w:val="005D5032"/>
    <w:rsid w:val="005F27E6"/>
    <w:rsid w:val="00626F81"/>
    <w:rsid w:val="0065395D"/>
    <w:rsid w:val="00663FCC"/>
    <w:rsid w:val="0068416C"/>
    <w:rsid w:val="006B29F2"/>
    <w:rsid w:val="006E0409"/>
    <w:rsid w:val="006E5FEF"/>
    <w:rsid w:val="00745572"/>
    <w:rsid w:val="00757A2F"/>
    <w:rsid w:val="007758D5"/>
    <w:rsid w:val="007A5996"/>
    <w:rsid w:val="007B2A83"/>
    <w:rsid w:val="007B5315"/>
    <w:rsid w:val="00801259"/>
    <w:rsid w:val="00831C24"/>
    <w:rsid w:val="00846562"/>
    <w:rsid w:val="008648E6"/>
    <w:rsid w:val="008702FC"/>
    <w:rsid w:val="00895FDB"/>
    <w:rsid w:val="008B540D"/>
    <w:rsid w:val="008D3870"/>
    <w:rsid w:val="00930A96"/>
    <w:rsid w:val="00964EFA"/>
    <w:rsid w:val="00983EA2"/>
    <w:rsid w:val="009B2ECE"/>
    <w:rsid w:val="009D21AD"/>
    <w:rsid w:val="009D3AAB"/>
    <w:rsid w:val="00A74656"/>
    <w:rsid w:val="00A75154"/>
    <w:rsid w:val="00AA2EC9"/>
    <w:rsid w:val="00AB08AB"/>
    <w:rsid w:val="00B008BF"/>
    <w:rsid w:val="00B366C3"/>
    <w:rsid w:val="00B55E9E"/>
    <w:rsid w:val="00B85778"/>
    <w:rsid w:val="00B9792D"/>
    <w:rsid w:val="00B97E57"/>
    <w:rsid w:val="00BA4BC5"/>
    <w:rsid w:val="00BD1AE1"/>
    <w:rsid w:val="00BF4743"/>
    <w:rsid w:val="00BF50F1"/>
    <w:rsid w:val="00C04E27"/>
    <w:rsid w:val="00C161FF"/>
    <w:rsid w:val="00C21B23"/>
    <w:rsid w:val="00C23D58"/>
    <w:rsid w:val="00C64F40"/>
    <w:rsid w:val="00C86FAE"/>
    <w:rsid w:val="00C92D64"/>
    <w:rsid w:val="00C966E7"/>
    <w:rsid w:val="00CE7373"/>
    <w:rsid w:val="00CF0433"/>
    <w:rsid w:val="00D412C3"/>
    <w:rsid w:val="00D55139"/>
    <w:rsid w:val="00D73469"/>
    <w:rsid w:val="00DB6E9F"/>
    <w:rsid w:val="00E202CE"/>
    <w:rsid w:val="00EC15BA"/>
    <w:rsid w:val="00EE28B5"/>
    <w:rsid w:val="00F04EF1"/>
    <w:rsid w:val="00F61F11"/>
    <w:rsid w:val="00F6524D"/>
    <w:rsid w:val="00FA13AF"/>
    <w:rsid w:val="00FA6704"/>
    <w:rsid w:val="00FC6311"/>
    <w:rsid w:val="00FD27AA"/>
    <w:rsid w:val="00FD2D03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E208"/>
  <w15:chartTrackingRefBased/>
  <w15:docId w15:val="{AA34C6F7-00F3-4405-AC4B-C47A9041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2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2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3162-6EEC-41CE-ACEC-5C0C7D8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Алла Кузмина</cp:lastModifiedBy>
  <cp:revision>82</cp:revision>
  <cp:lastPrinted>2018-03-14T06:50:00Z</cp:lastPrinted>
  <dcterms:created xsi:type="dcterms:W3CDTF">2018-03-13T08:25:00Z</dcterms:created>
  <dcterms:modified xsi:type="dcterms:W3CDTF">2023-10-11T08:11:00Z</dcterms:modified>
</cp:coreProperties>
</file>