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8381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8381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176BE1" w:rsidRPr="00176BE1" w:rsidRDefault="00176BE1" w:rsidP="00236593">
      <w:pPr>
        <w:tabs>
          <w:tab w:val="left" w:pos="3810"/>
        </w:tabs>
        <w:jc w:val="center"/>
        <w:rPr>
          <w:sz w:val="28"/>
          <w:szCs w:val="28"/>
        </w:rPr>
      </w:pPr>
      <w:r w:rsidRPr="00176BE1">
        <w:rPr>
          <w:sz w:val="28"/>
          <w:szCs w:val="28"/>
        </w:rPr>
        <w:t xml:space="preserve">   02.06.2023     №  808/6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76BE1" w:rsidRDefault="00176BE1" w:rsidP="00176BE1">
      <w:pPr>
        <w:rPr>
          <w:sz w:val="28"/>
          <w:szCs w:val="28"/>
        </w:rPr>
      </w:pPr>
    </w:p>
    <w:p w:rsidR="00176BE1" w:rsidRDefault="00176BE1" w:rsidP="00176BE1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 финансовом обеспечении организации отдыха,</w:t>
      </w:r>
    </w:p>
    <w:p w:rsidR="00176BE1" w:rsidRDefault="00176BE1" w:rsidP="00176BE1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оздоровления и занятости детей и молодежи</w:t>
      </w:r>
    </w:p>
    <w:p w:rsidR="00176BE1" w:rsidRDefault="00176BE1" w:rsidP="00176BE1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городском округе Зарайск Московской области</w:t>
      </w:r>
    </w:p>
    <w:p w:rsidR="00176BE1" w:rsidRDefault="00176BE1" w:rsidP="00176BE1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 2023 году</w:t>
      </w:r>
    </w:p>
    <w:p w:rsidR="00176BE1" w:rsidRDefault="00176BE1" w:rsidP="00176BE1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Московской области в 2023 году, реализации муниципальной программы городского округа Зарайск Московской области «Социальная защита населения» на срок  2023-2027 гг. и на основании постановления  главы городского округа Зарайск Московской области от 31.03.2023 № 479/3 «Об организации отдыха, оздоровления и</w:t>
      </w:r>
      <w:proofErr w:type="gramEnd"/>
      <w:r>
        <w:rPr>
          <w:sz w:val="28"/>
          <w:szCs w:val="28"/>
        </w:rPr>
        <w:t xml:space="preserve"> занятости детей и молодежи в городском округе Зарайск в 2023 году»,</w:t>
      </w:r>
    </w:p>
    <w:p w:rsidR="00176BE1" w:rsidRDefault="00176BE1" w:rsidP="00176BE1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76BE1" w:rsidRDefault="00176BE1" w:rsidP="00176BE1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финансирования расходов по организации отдыха, оздоровления и занятости детей и молодежи в 2023 году за счет средств бюджета городского округа Зарайск Московской области и субсидии из бюджета Московской области (приложение 1).</w:t>
      </w:r>
    </w:p>
    <w:p w:rsidR="00176BE1" w:rsidRDefault="00176BE1" w:rsidP="00176BE1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Финансовому управлению администрации городского округа Зарайск Московской области (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О.В.), управлению образования администрации городского округа Зарайск Московской области (Прокофьева Е.Н.)  осуществлять контроль за целевым использованием финансовых средств, выделенных на организацию отдыха, оздоровления и занятости детей и молодежи в рамках муниципальной программы «Социальная защита населения» на срок  2023-2027 годы, подпрограммы 2.</w:t>
      </w:r>
      <w:proofErr w:type="gramEnd"/>
      <w:r>
        <w:rPr>
          <w:sz w:val="28"/>
          <w:szCs w:val="28"/>
        </w:rPr>
        <w:t xml:space="preserve"> «Развитие системы отдыха и оздоровления детей».</w:t>
      </w:r>
    </w:p>
    <w:p w:rsidR="00176BE1" w:rsidRDefault="00176BE1" w:rsidP="00176BE1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176BE1" w:rsidRDefault="00176BE1" w:rsidP="00176BE1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011000</w:t>
      </w:r>
    </w:p>
    <w:p w:rsidR="00176BE1" w:rsidRDefault="00176BE1" w:rsidP="00176BE1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6BE1" w:rsidRDefault="00176BE1" w:rsidP="00176BE1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176BE1" w:rsidRDefault="00176BE1" w:rsidP="00176BE1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176BE1" w:rsidRDefault="00176BE1" w:rsidP="00176BE1">
      <w:pPr>
        <w:pStyle w:val="a5"/>
        <w:ind w:right="-91"/>
        <w:jc w:val="both"/>
      </w:pPr>
      <w:r>
        <w:t xml:space="preserve">Глава городского округа Зарайск  В.А. Петрущенко    </w:t>
      </w: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02.06.2023</w:t>
      </w:r>
    </w:p>
    <w:p w:rsidR="00176BE1" w:rsidRDefault="00176BE1" w:rsidP="00176BE1">
      <w:pPr>
        <w:jc w:val="both"/>
        <w:rPr>
          <w:sz w:val="28"/>
          <w:szCs w:val="28"/>
        </w:rPr>
      </w:pPr>
    </w:p>
    <w:p w:rsidR="00176BE1" w:rsidRDefault="00176BE1" w:rsidP="00176BE1">
      <w:pPr>
        <w:jc w:val="both"/>
        <w:rPr>
          <w:sz w:val="28"/>
          <w:szCs w:val="28"/>
        </w:rPr>
      </w:pP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УО-2 экз., МКУ «ЦБУ ГОЗ», ФУ, прокуратуре,  </w:t>
      </w: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КДН,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>Т.Б. Лаврова</w:t>
      </w:r>
    </w:p>
    <w:p w:rsidR="00176BE1" w:rsidRDefault="00176BE1" w:rsidP="00176BE1">
      <w:pPr>
        <w:jc w:val="both"/>
        <w:rPr>
          <w:sz w:val="28"/>
          <w:szCs w:val="28"/>
        </w:rPr>
      </w:pPr>
      <w:r>
        <w:rPr>
          <w:sz w:val="28"/>
          <w:szCs w:val="28"/>
        </w:rPr>
        <w:t>66 2-56-02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B83815" w:rsidRDefault="00B83815" w:rsidP="00B83815">
      <w:pPr>
        <w:pStyle w:val="31"/>
        <w:spacing w:after="0"/>
        <w:jc w:val="both"/>
        <w:rPr>
          <w:sz w:val="28"/>
          <w:szCs w:val="28"/>
        </w:rPr>
      </w:pPr>
    </w:p>
    <w:p w:rsidR="00B83815" w:rsidRDefault="00B83815" w:rsidP="00B83815">
      <w:pPr>
        <w:pStyle w:val="31"/>
        <w:spacing w:after="0"/>
        <w:jc w:val="both"/>
        <w:rPr>
          <w:sz w:val="28"/>
          <w:szCs w:val="28"/>
        </w:rPr>
      </w:pPr>
    </w:p>
    <w:p w:rsidR="00B83815" w:rsidRDefault="00B83815" w:rsidP="00B83815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1 Утверждено </w:t>
      </w:r>
    </w:p>
    <w:p w:rsidR="00B83815" w:rsidRDefault="00B83815" w:rsidP="00B83815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 Главы </w:t>
      </w:r>
    </w:p>
    <w:p w:rsidR="00B83815" w:rsidRDefault="00B83815" w:rsidP="00B83815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городского округа Зарайск</w:t>
      </w:r>
    </w:p>
    <w:p w:rsidR="00B83815" w:rsidRDefault="00B83815" w:rsidP="00B83815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02.06.2023  № 808/6</w:t>
      </w:r>
    </w:p>
    <w:p w:rsidR="00B83815" w:rsidRDefault="00B83815" w:rsidP="00B83815">
      <w:pPr>
        <w:tabs>
          <w:tab w:val="left" w:pos="851"/>
        </w:tabs>
        <w:ind w:firstLine="567"/>
        <w:rPr>
          <w:sz w:val="22"/>
          <w:szCs w:val="22"/>
        </w:rPr>
      </w:pPr>
    </w:p>
    <w:p w:rsidR="00B83815" w:rsidRDefault="00B83815" w:rsidP="00B83815">
      <w:pPr>
        <w:jc w:val="center"/>
      </w:pPr>
      <w:r>
        <w:rPr>
          <w:b/>
          <w:sz w:val="28"/>
          <w:szCs w:val="28"/>
        </w:rPr>
        <w:t>Порядок финансирования расходов</w:t>
      </w:r>
    </w:p>
    <w:p w:rsidR="00B83815" w:rsidRDefault="00B83815" w:rsidP="00B83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организации отдыха, оздоровления и занятости детей и молодежи в 2023г.  за счет средств бюджета городского округа Зарайск </w:t>
      </w:r>
    </w:p>
    <w:p w:rsidR="00B83815" w:rsidRDefault="00B83815" w:rsidP="00B83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субсидии из бюджета    Московской области </w:t>
      </w:r>
    </w:p>
    <w:p w:rsidR="00B83815" w:rsidRDefault="00B83815" w:rsidP="00B83815">
      <w:pPr>
        <w:jc w:val="center"/>
      </w:pPr>
    </w:p>
    <w:p w:rsidR="00B83815" w:rsidRDefault="00B83815" w:rsidP="00B83815">
      <w:pPr>
        <w:jc w:val="both"/>
      </w:pPr>
      <w:r>
        <w:t xml:space="preserve">      </w:t>
      </w:r>
      <w:r>
        <w:rPr>
          <w:sz w:val="28"/>
          <w:szCs w:val="28"/>
        </w:rPr>
        <w:t>Настоящий Порядок определяет механизм и условия финансирования расходов на организацию отдыха, оздоровления и занятости детей и молодежи, предусмотренных муниципальной программой городского округа Зарайск Московской области «Социальная защита населения» на срок 2023-2027 годы.</w:t>
      </w:r>
    </w:p>
    <w:p w:rsidR="00B83815" w:rsidRDefault="00B83815" w:rsidP="00B83815">
      <w:pPr>
        <w:jc w:val="both"/>
        <w:rPr>
          <w:sz w:val="16"/>
          <w:szCs w:val="16"/>
        </w:rPr>
      </w:pPr>
    </w:p>
    <w:p w:rsidR="00B83815" w:rsidRDefault="00B83815" w:rsidP="00B83815">
      <w:pPr>
        <w:numPr>
          <w:ilvl w:val="0"/>
          <w:numId w:val="8"/>
        </w:num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 счет субсидии, предоставляемой бюджету городского округа Зарайск Московской области из бюджета Московской области в сумме 1 780 000 рублей, средства расходуются:</w:t>
      </w:r>
    </w:p>
    <w:p w:rsidR="00B83815" w:rsidRDefault="00B83815" w:rsidP="00B83815">
      <w:pPr>
        <w:ind w:left="360"/>
        <w:jc w:val="both"/>
        <w:rPr>
          <w:sz w:val="16"/>
          <w:szCs w:val="16"/>
        </w:rPr>
      </w:pPr>
    </w:p>
    <w:p w:rsidR="00B83815" w:rsidRDefault="00B83815" w:rsidP="00B83815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1.1.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физических лиц на оплату питания в детских пришкольных   оздоровительных лагерях с дневным пребыванием детей в период летних каникул. </w:t>
      </w:r>
      <w:proofErr w:type="gramStart"/>
      <w:r>
        <w:rPr>
          <w:sz w:val="28"/>
          <w:szCs w:val="28"/>
        </w:rPr>
        <w:t xml:space="preserve">Оплата за питание производится путем перечисления денежных средств с лицевого счета </w:t>
      </w:r>
      <w:r>
        <w:rPr>
          <w:color w:val="000000"/>
          <w:sz w:val="28"/>
          <w:szCs w:val="28"/>
        </w:rPr>
        <w:t xml:space="preserve">  управления образования администрации городского округа Зарайск Московской области на лицевые счета бюджетных общеобразовательных учреждений, организующих оздоровительные лагеря с дневным пребыванием согласно списочному составу детей с указанием наименования образовательного учреждения городского округа </w:t>
      </w:r>
      <w:r>
        <w:rPr>
          <w:color w:val="000000"/>
          <w:sz w:val="28"/>
          <w:szCs w:val="28"/>
        </w:rPr>
        <w:lastRenderedPageBreak/>
        <w:t>Зарайск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color w:val="000000"/>
          <w:sz w:val="28"/>
          <w:szCs w:val="28"/>
        </w:rPr>
        <w:t xml:space="preserve"> и за подписью руководителя образовательного учреждения</w:t>
      </w:r>
      <w:r>
        <w:rPr>
          <w:color w:val="000000"/>
          <w:spacing w:val="-6"/>
          <w:sz w:val="28"/>
          <w:szCs w:val="28"/>
        </w:rPr>
        <w:t>:</w:t>
      </w:r>
      <w:proofErr w:type="gramEnd"/>
    </w:p>
    <w:p w:rsidR="00B83815" w:rsidRDefault="00B83815" w:rsidP="00B83815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16"/>
          <w:szCs w:val="16"/>
        </w:rPr>
      </w:pPr>
    </w:p>
    <w:p w:rsidR="00B83815" w:rsidRDefault="00B83815" w:rsidP="00B83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242 пут.* 7350,00 руб. =1 778 700,00 руб.</w:t>
      </w:r>
    </w:p>
    <w:p w:rsidR="00B83815" w:rsidRDefault="00B83815" w:rsidP="00B83815">
      <w:pPr>
        <w:ind w:left="360"/>
        <w:jc w:val="both"/>
        <w:rPr>
          <w:i/>
          <w:sz w:val="28"/>
          <w:szCs w:val="28"/>
        </w:rPr>
      </w:pPr>
    </w:p>
    <w:p w:rsidR="00B83815" w:rsidRDefault="00B83815" w:rsidP="00B83815">
      <w:pPr>
        <w:numPr>
          <w:ilvl w:val="0"/>
          <w:numId w:val="8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счет средств бюджета городского округа Зарайск Московской области в сумме 6 100 000,00 рублей средства расходуются:</w:t>
      </w:r>
    </w:p>
    <w:p w:rsidR="00B83815" w:rsidRDefault="00B83815" w:rsidP="00B83815">
      <w:pPr>
        <w:ind w:left="360"/>
        <w:jc w:val="both"/>
        <w:rPr>
          <w:i/>
          <w:sz w:val="28"/>
          <w:szCs w:val="28"/>
        </w:rPr>
      </w:pPr>
    </w:p>
    <w:p w:rsidR="00B83815" w:rsidRDefault="00B83815" w:rsidP="00B83815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2.1. На оплату путевок в период летних каникул 2023 года в пришкольный оздоровительный лагерь с дневным пребыванием детей из семей, являющихся получателями ежемесячных пособий на ребенка,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размере 100% от стоимости путевки. Оплата за путевки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</w:t>
      </w:r>
      <w:r>
        <w:rPr>
          <w:sz w:val="28"/>
          <w:szCs w:val="28"/>
        </w:rPr>
        <w:t>Московской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на лицевые счета бюджетных общеобразовательных учреждений, организующих оздоровительные лагеря с дневным пребыванием детей согласно списочному составу детей за подписью руководителя образовательного учреждения:</w:t>
      </w:r>
    </w:p>
    <w:p w:rsidR="00B83815" w:rsidRDefault="00B83815" w:rsidP="00B83815">
      <w:pPr>
        <w:jc w:val="both"/>
        <w:rPr>
          <w:b/>
          <w:sz w:val="28"/>
          <w:szCs w:val="28"/>
        </w:rPr>
      </w:pPr>
    </w:p>
    <w:p w:rsidR="00B83815" w:rsidRDefault="00B83815" w:rsidP="00B83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192 пут.* 9 292,00 руб. =1 784 064,00 руб.</w:t>
      </w:r>
    </w:p>
    <w:p w:rsidR="00B83815" w:rsidRDefault="00B83815" w:rsidP="00B83815">
      <w:pPr>
        <w:jc w:val="both"/>
        <w:rPr>
          <w:sz w:val="28"/>
          <w:szCs w:val="28"/>
        </w:rPr>
      </w:pPr>
    </w:p>
    <w:p w:rsidR="00B83815" w:rsidRDefault="00B83815" w:rsidP="00B83815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2.2.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физических лиц на оплату питания в детских пришкольных   оздоровительных лагерях с дневным пребыванием детей в период летних каникул. </w:t>
      </w:r>
      <w:proofErr w:type="gramStart"/>
      <w:r>
        <w:rPr>
          <w:sz w:val="28"/>
          <w:szCs w:val="28"/>
        </w:rPr>
        <w:t>Оплата за питание производится</w:t>
      </w:r>
      <w:r>
        <w:rPr>
          <w:spacing w:val="-6"/>
          <w:sz w:val="28"/>
          <w:szCs w:val="28"/>
        </w:rPr>
        <w:t xml:space="preserve"> путем перечисления денежных средств с лицевого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>
        <w:rPr>
          <w:color w:val="000000"/>
          <w:spacing w:val="-6"/>
          <w:sz w:val="28"/>
          <w:szCs w:val="28"/>
        </w:rPr>
        <w:t xml:space="preserve"> на лицевые счета бюджетных общеобразовательных учреждений, организующих оздоровительные лагеря с дневным пребыванием детей согласно списочному составу детей с указанием наименования образовательного учреждения городского округа Зарайск </w:t>
      </w:r>
      <w:r>
        <w:rPr>
          <w:sz w:val="28"/>
          <w:szCs w:val="28"/>
        </w:rPr>
        <w:t>Московской области</w:t>
      </w:r>
      <w:r>
        <w:rPr>
          <w:color w:val="000000"/>
          <w:spacing w:val="-6"/>
          <w:sz w:val="28"/>
          <w:szCs w:val="28"/>
        </w:rPr>
        <w:t xml:space="preserve"> и за подписью руководителя образовательного учреждения:</w:t>
      </w:r>
      <w:proofErr w:type="gramEnd"/>
    </w:p>
    <w:p w:rsidR="00B83815" w:rsidRDefault="00B83815" w:rsidP="00B83815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3815" w:rsidRDefault="00B83815" w:rsidP="00B83815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367 пут. * 7 350,00 руб. = 2 697 450,00 руб.</w:t>
      </w:r>
    </w:p>
    <w:p w:rsidR="00B83815" w:rsidRDefault="00B83815" w:rsidP="00B83815">
      <w:pPr>
        <w:jc w:val="both"/>
        <w:rPr>
          <w:sz w:val="28"/>
          <w:szCs w:val="28"/>
        </w:rPr>
      </w:pPr>
    </w:p>
    <w:p w:rsidR="00B83815" w:rsidRDefault="00B83815" w:rsidP="00B83815">
      <w:pPr>
        <w:jc w:val="both"/>
        <w:rPr>
          <w:sz w:val="28"/>
          <w:szCs w:val="28"/>
        </w:rPr>
      </w:pPr>
      <w:r>
        <w:rPr>
          <w:sz w:val="28"/>
          <w:szCs w:val="28"/>
        </w:rPr>
        <w:t>2.3.  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», активистов военно-патриотических мероприятий на оплату путевок в профильной смене лагеря военно-патриотической направленности в размере 100% от стоимости путевки</w:t>
      </w:r>
      <w:r>
        <w:t xml:space="preserve">.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городского округа Зарайск на основании решения комиссии, состав которой утвержден постановлением главы городского округа Зарайск  Московской области от 31.03.2023  № 479/3 «Об организации отдыха, оздоровления и занятости детей и молодежи в городском округе Зарайск в 2023 году»,  согласно приложению № 3. </w:t>
      </w:r>
    </w:p>
    <w:p w:rsidR="00B83815" w:rsidRDefault="00B83815" w:rsidP="00B83815">
      <w:pPr>
        <w:ind w:left="360"/>
        <w:jc w:val="both"/>
        <w:rPr>
          <w:sz w:val="28"/>
          <w:szCs w:val="28"/>
        </w:rPr>
      </w:pPr>
    </w:p>
    <w:p w:rsidR="00B83815" w:rsidRDefault="00B83815" w:rsidP="00B8381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пут. * 47 000,00 руб. = 517 000,00 руб.</w:t>
      </w:r>
    </w:p>
    <w:p w:rsidR="00B83815" w:rsidRDefault="00B83815" w:rsidP="00B83815">
      <w:pPr>
        <w:ind w:left="360"/>
        <w:jc w:val="both"/>
        <w:rPr>
          <w:b/>
          <w:sz w:val="28"/>
          <w:szCs w:val="28"/>
        </w:rPr>
      </w:pPr>
    </w:p>
    <w:p w:rsidR="00B83815" w:rsidRDefault="00B83815" w:rsidP="00B8381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2.4.   На оплату труда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школ в трудовых отрядах за фактически отработанное время с перечислением взносов во внебюджетные фонды в сумме 1 100 000,0 рублей. Оплата производится </w:t>
      </w:r>
      <w:r>
        <w:rPr>
          <w:spacing w:val="-6"/>
          <w:sz w:val="28"/>
          <w:szCs w:val="28"/>
        </w:rPr>
        <w:t>через лицевые счета образовательных учреждений.</w:t>
      </w:r>
    </w:p>
    <w:p w:rsidR="00B83815" w:rsidRDefault="00B83815" w:rsidP="00B8381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815" w:rsidRDefault="00B83815" w:rsidP="00B83815">
      <w:pPr>
        <w:numPr>
          <w:ilvl w:val="0"/>
          <w:numId w:val="8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Стоимость путевки в детские пришкольные оздоровительные лагеря дневного пребывания для иногородних детей оплачивается родителями (законными представителя) в размере 100% от стоимости путевки. Оплата путевок производится </w:t>
      </w:r>
      <w:r>
        <w:rPr>
          <w:i/>
          <w:spacing w:val="-6"/>
          <w:sz w:val="28"/>
          <w:szCs w:val="28"/>
        </w:rPr>
        <w:t xml:space="preserve">путем перечисления денежных средств на </w:t>
      </w:r>
      <w:r>
        <w:rPr>
          <w:i/>
          <w:color w:val="000000"/>
          <w:spacing w:val="-6"/>
          <w:sz w:val="28"/>
          <w:szCs w:val="28"/>
        </w:rPr>
        <w:t>лицевые счета бюджетных общеобразовательных учреждений, организующих оздоровительные лагеря с дневным пребыванием детей</w:t>
      </w:r>
    </w:p>
    <w:p w:rsidR="00B83815" w:rsidRDefault="00B83815" w:rsidP="00B83815">
      <w:pPr>
        <w:jc w:val="both"/>
        <w:rPr>
          <w:sz w:val="28"/>
          <w:szCs w:val="28"/>
        </w:rPr>
      </w:pPr>
    </w:p>
    <w:p w:rsidR="00B83815" w:rsidRDefault="00B83815" w:rsidP="00B83815">
      <w:pPr>
        <w:jc w:val="both"/>
        <w:rPr>
          <w:sz w:val="28"/>
          <w:szCs w:val="28"/>
        </w:rPr>
      </w:pPr>
    </w:p>
    <w:p w:rsidR="00B83815" w:rsidRDefault="00B83815" w:rsidP="00B83815">
      <w:pPr>
        <w:jc w:val="both"/>
        <w:rPr>
          <w:sz w:val="28"/>
          <w:szCs w:val="28"/>
        </w:rPr>
      </w:pPr>
    </w:p>
    <w:p w:rsidR="00B83815" w:rsidRDefault="00B83815" w:rsidP="00B83815">
      <w:pPr>
        <w:ind w:left="360"/>
        <w:jc w:val="both"/>
        <w:rPr>
          <w:sz w:val="28"/>
          <w:szCs w:val="28"/>
        </w:rPr>
      </w:pPr>
    </w:p>
    <w:p w:rsidR="00B83815" w:rsidRDefault="00B83815" w:rsidP="00B83815">
      <w:pPr>
        <w:jc w:val="both"/>
        <w:rPr>
          <w:sz w:val="28"/>
          <w:szCs w:val="28"/>
        </w:rPr>
      </w:pPr>
    </w:p>
    <w:p w:rsidR="00B83815" w:rsidRDefault="00B83815" w:rsidP="00B83815">
      <w:pPr>
        <w:jc w:val="both"/>
        <w:rPr>
          <w:sz w:val="26"/>
        </w:rPr>
      </w:pPr>
    </w:p>
    <w:p w:rsidR="00B83815" w:rsidRDefault="00B83815" w:rsidP="00B83815">
      <w:pPr>
        <w:jc w:val="both"/>
        <w:rPr>
          <w:sz w:val="26"/>
        </w:rPr>
      </w:pPr>
    </w:p>
    <w:p w:rsidR="00B83815" w:rsidRDefault="00B83815" w:rsidP="00B83815">
      <w:pPr>
        <w:jc w:val="both"/>
        <w:rPr>
          <w:sz w:val="26"/>
        </w:rPr>
      </w:pPr>
    </w:p>
    <w:p w:rsidR="00B83815" w:rsidRDefault="00B83815" w:rsidP="00B83815">
      <w:pPr>
        <w:pStyle w:val="31"/>
        <w:spacing w:after="0"/>
        <w:jc w:val="both"/>
        <w:rPr>
          <w:sz w:val="26"/>
          <w:szCs w:val="28"/>
        </w:rPr>
      </w:pPr>
    </w:p>
    <w:p w:rsidR="00B83815" w:rsidRDefault="00B83815" w:rsidP="00B83815">
      <w:pPr>
        <w:pStyle w:val="31"/>
        <w:spacing w:after="0"/>
        <w:jc w:val="both"/>
        <w:rPr>
          <w:sz w:val="26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76BE1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00EAA"/>
    <w:rsid w:val="00B53CA7"/>
    <w:rsid w:val="00B560A0"/>
    <w:rsid w:val="00B65E43"/>
    <w:rsid w:val="00B80F3C"/>
    <w:rsid w:val="00B83815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25"/>
    <w:locked/>
    <w:rsid w:val="00176BE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b"/>
    <w:rsid w:val="00176BE1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styleId="31">
    <w:name w:val="Body Text 3"/>
    <w:basedOn w:val="a"/>
    <w:link w:val="32"/>
    <w:semiHidden/>
    <w:unhideWhenUsed/>
    <w:rsid w:val="00B838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B838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2020-07-31T10:45:00Z</cp:lastPrinted>
  <dcterms:created xsi:type="dcterms:W3CDTF">2018-04-10T11:03:00Z</dcterms:created>
  <dcterms:modified xsi:type="dcterms:W3CDTF">2023-06-02T12:30:00Z</dcterms:modified>
</cp:coreProperties>
</file>