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F95ED4">
        <w:rPr>
          <w:sz w:val="28"/>
          <w:szCs w:val="28"/>
        </w:rPr>
        <w:t xml:space="preserve"> 16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F95ED4">
        <w:rPr>
          <w:sz w:val="28"/>
          <w:szCs w:val="28"/>
        </w:rPr>
        <w:t>47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36B8C" w:rsidRDefault="00F42DD3" w:rsidP="0020161E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1B3EF2" w:rsidRDefault="001B3EF2" w:rsidP="00AD1A2C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A2C">
        <w:rPr>
          <w:color w:val="000000"/>
          <w:sz w:val="28"/>
          <w:szCs w:val="28"/>
        </w:rPr>
        <w:t xml:space="preserve"> </w:t>
      </w:r>
    </w:p>
    <w:p w:rsid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367BC">
        <w:rPr>
          <w:sz w:val="28"/>
          <w:szCs w:val="28"/>
        </w:rPr>
        <w:t xml:space="preserve">Об  утверждении Перечня  </w:t>
      </w:r>
      <w:proofErr w:type="gramStart"/>
      <w:r w:rsidRPr="007367BC">
        <w:rPr>
          <w:sz w:val="28"/>
          <w:szCs w:val="28"/>
        </w:rPr>
        <w:t>государственных</w:t>
      </w:r>
      <w:proofErr w:type="gramEnd"/>
      <w:r w:rsidRPr="007367BC">
        <w:rPr>
          <w:sz w:val="28"/>
          <w:szCs w:val="28"/>
        </w:rPr>
        <w:t xml:space="preserve"> </w:t>
      </w:r>
    </w:p>
    <w:p w:rsid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367BC">
        <w:rPr>
          <w:sz w:val="28"/>
          <w:szCs w:val="28"/>
        </w:rPr>
        <w:t xml:space="preserve">и муниципальных  услуг (функций), </w:t>
      </w:r>
    </w:p>
    <w:p w:rsid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Pr="007367BC">
        <w:rPr>
          <w:sz w:val="28"/>
          <w:szCs w:val="28"/>
        </w:rPr>
        <w:t>предоставляемых</w:t>
      </w:r>
      <w:proofErr w:type="gramEnd"/>
      <w:r w:rsidRPr="007367BC">
        <w:rPr>
          <w:sz w:val="28"/>
          <w:szCs w:val="28"/>
        </w:rPr>
        <w:t xml:space="preserve"> администрацией </w:t>
      </w:r>
    </w:p>
    <w:p w:rsid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367BC">
        <w:rPr>
          <w:sz w:val="28"/>
          <w:szCs w:val="28"/>
        </w:rPr>
        <w:t xml:space="preserve">городского округа Зарайск  </w:t>
      </w:r>
      <w:proofErr w:type="gramStart"/>
      <w:r w:rsidRPr="007367BC">
        <w:rPr>
          <w:sz w:val="28"/>
          <w:szCs w:val="28"/>
        </w:rPr>
        <w:t>Московской</w:t>
      </w:r>
      <w:proofErr w:type="gramEnd"/>
      <w:r w:rsidRPr="007367BC">
        <w:rPr>
          <w:sz w:val="28"/>
          <w:szCs w:val="28"/>
        </w:rPr>
        <w:t xml:space="preserve"> </w:t>
      </w:r>
    </w:p>
    <w:p w:rsidR="007367BC" w:rsidRP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367BC">
        <w:rPr>
          <w:sz w:val="28"/>
          <w:szCs w:val="28"/>
        </w:rPr>
        <w:t xml:space="preserve">области по принципу «одного окна» </w:t>
      </w:r>
    </w:p>
    <w:p w:rsid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367BC">
        <w:rPr>
          <w:sz w:val="28"/>
          <w:szCs w:val="28"/>
        </w:rPr>
        <w:t xml:space="preserve">в многофункциональном  центре </w:t>
      </w:r>
    </w:p>
    <w:p w:rsidR="007367BC" w:rsidRP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</w:t>
      </w:r>
      <w:r w:rsidRPr="007367BC">
        <w:rPr>
          <w:sz w:val="28"/>
          <w:szCs w:val="28"/>
        </w:rPr>
        <w:t>осуда</w:t>
      </w:r>
      <w:r>
        <w:rPr>
          <w:sz w:val="28"/>
          <w:szCs w:val="28"/>
        </w:rPr>
        <w:t>рственных и муниципальных услуг</w:t>
      </w:r>
    </w:p>
    <w:p w:rsidR="007367BC" w:rsidRDefault="007367BC" w:rsidP="007367BC">
      <w:pPr>
        <w:pStyle w:val="affa"/>
        <w:rPr>
          <w:sz w:val="28"/>
          <w:szCs w:val="28"/>
        </w:rPr>
      </w:pPr>
    </w:p>
    <w:p w:rsidR="007367BC" w:rsidRPr="007367BC" w:rsidRDefault="007367BC" w:rsidP="007367BC">
      <w:pPr>
        <w:pStyle w:val="affa"/>
        <w:rPr>
          <w:sz w:val="28"/>
          <w:szCs w:val="28"/>
        </w:rPr>
      </w:pPr>
    </w:p>
    <w:p w:rsidR="007367BC" w:rsidRDefault="007367BC" w:rsidP="001F5EDF">
      <w:pPr>
        <w:spacing w:line="276" w:lineRule="auto"/>
        <w:jc w:val="both"/>
        <w:rPr>
          <w:sz w:val="28"/>
          <w:szCs w:val="28"/>
        </w:rPr>
      </w:pPr>
      <w:r w:rsidRPr="007367BC">
        <w:rPr>
          <w:sz w:val="28"/>
          <w:szCs w:val="28"/>
        </w:rPr>
        <w:t xml:space="preserve">         В соответствии с Фед</w:t>
      </w:r>
      <w:r w:rsidR="001F5EDF">
        <w:rPr>
          <w:sz w:val="28"/>
          <w:szCs w:val="28"/>
        </w:rPr>
        <w:t>еральным законом от 27.07.2010</w:t>
      </w:r>
      <w:r w:rsidRPr="007367BC">
        <w:rPr>
          <w:sz w:val="28"/>
          <w:szCs w:val="28"/>
        </w:rPr>
        <w:t xml:space="preserve"> № 210-ФЗ «Об организации предоставления государственных и муницип</w:t>
      </w:r>
      <w:r w:rsidR="005162BC">
        <w:rPr>
          <w:sz w:val="28"/>
          <w:szCs w:val="28"/>
        </w:rPr>
        <w:t>альных услуг», постановлением п</w:t>
      </w:r>
      <w:r w:rsidRPr="007367BC">
        <w:rPr>
          <w:sz w:val="28"/>
          <w:szCs w:val="28"/>
        </w:rPr>
        <w:t xml:space="preserve">равительства Московской области  </w:t>
      </w:r>
      <w:r w:rsidR="005162BC">
        <w:rPr>
          <w:sz w:val="28"/>
          <w:szCs w:val="28"/>
        </w:rPr>
        <w:t>от 19.12.2017</w:t>
      </w:r>
      <w:r w:rsidRPr="007367BC">
        <w:rPr>
          <w:sz w:val="28"/>
          <w:szCs w:val="28"/>
        </w:rPr>
        <w:t xml:space="preserve"> </w:t>
      </w:r>
      <w:r w:rsidR="005162BC" w:rsidRPr="007367BC">
        <w:rPr>
          <w:sz w:val="28"/>
          <w:szCs w:val="28"/>
        </w:rPr>
        <w:t>№</w:t>
      </w:r>
      <w:r w:rsidR="005162BC">
        <w:rPr>
          <w:sz w:val="28"/>
          <w:szCs w:val="28"/>
        </w:rPr>
        <w:t xml:space="preserve"> 1071/46 </w:t>
      </w:r>
      <w:r w:rsidRPr="007367BC">
        <w:rPr>
          <w:sz w:val="28"/>
          <w:szCs w:val="28"/>
        </w:rPr>
        <w:t>«Об организации предоставления государ</w:t>
      </w:r>
      <w:r w:rsidR="005162BC">
        <w:rPr>
          <w:sz w:val="28"/>
          <w:szCs w:val="28"/>
        </w:rPr>
        <w:t xml:space="preserve">ственных и муниципальных услуг </w:t>
      </w:r>
      <w:r w:rsidRPr="007367BC">
        <w:rPr>
          <w:sz w:val="28"/>
          <w:szCs w:val="28"/>
        </w:rPr>
        <w:t>в многофункциональных центрах  предоставления государственных и мун</w:t>
      </w:r>
      <w:r w:rsidR="005162BC">
        <w:rPr>
          <w:sz w:val="28"/>
          <w:szCs w:val="28"/>
        </w:rPr>
        <w:t xml:space="preserve">иципальных услуг </w:t>
      </w:r>
      <w:r w:rsidRPr="007367BC">
        <w:rPr>
          <w:sz w:val="28"/>
          <w:szCs w:val="28"/>
        </w:rPr>
        <w:t>на</w:t>
      </w:r>
      <w:r w:rsidR="005162BC">
        <w:rPr>
          <w:sz w:val="28"/>
          <w:szCs w:val="28"/>
        </w:rPr>
        <w:t xml:space="preserve"> территории Московской области»</w:t>
      </w:r>
    </w:p>
    <w:p w:rsidR="00AD1A2C" w:rsidRDefault="00AD1A2C" w:rsidP="00AD1A2C">
      <w:pPr>
        <w:spacing w:line="276" w:lineRule="auto"/>
        <w:rPr>
          <w:sz w:val="28"/>
          <w:szCs w:val="28"/>
        </w:rPr>
      </w:pPr>
    </w:p>
    <w:p w:rsidR="007367BC" w:rsidRDefault="00AD1A2C" w:rsidP="00AD1A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367BC" w:rsidRPr="007367BC">
        <w:rPr>
          <w:sz w:val="28"/>
          <w:szCs w:val="28"/>
        </w:rPr>
        <w:t>П</w:t>
      </w:r>
      <w:proofErr w:type="gramEnd"/>
      <w:r w:rsidR="007367BC" w:rsidRPr="007367BC">
        <w:rPr>
          <w:sz w:val="28"/>
          <w:szCs w:val="28"/>
        </w:rPr>
        <w:t xml:space="preserve"> О С Т А Н О В Л Я Ю:</w:t>
      </w:r>
    </w:p>
    <w:p w:rsidR="00AD1A2C" w:rsidRPr="007367BC" w:rsidRDefault="00AD1A2C" w:rsidP="00AD1A2C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7367BC" w:rsidRDefault="007367BC" w:rsidP="001F5EDF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367BC">
        <w:rPr>
          <w:rFonts w:ascii="Times New Roman" w:hAnsi="Times New Roman"/>
          <w:sz w:val="28"/>
          <w:szCs w:val="28"/>
        </w:rPr>
        <w:t>Утвердить  Перечень  государственных и муниципальных услуг (функций), предоставляемых администрацией городского округа Зар</w:t>
      </w:r>
      <w:r w:rsidR="005162BC">
        <w:rPr>
          <w:rFonts w:ascii="Times New Roman" w:hAnsi="Times New Roman"/>
          <w:sz w:val="28"/>
          <w:szCs w:val="28"/>
        </w:rPr>
        <w:t xml:space="preserve">айск </w:t>
      </w:r>
      <w:r w:rsidRPr="007367BC">
        <w:rPr>
          <w:rFonts w:ascii="Times New Roman" w:hAnsi="Times New Roman"/>
          <w:sz w:val="28"/>
          <w:szCs w:val="28"/>
        </w:rPr>
        <w:t xml:space="preserve">Московской области по принципу «одного окна» </w:t>
      </w:r>
      <w:r w:rsidR="005162BC">
        <w:rPr>
          <w:rFonts w:ascii="Times New Roman" w:hAnsi="Times New Roman"/>
          <w:sz w:val="28"/>
          <w:szCs w:val="28"/>
        </w:rPr>
        <w:t>в многофункциональном центре  г</w:t>
      </w:r>
      <w:r w:rsidRPr="007367BC">
        <w:rPr>
          <w:rFonts w:ascii="Times New Roman" w:hAnsi="Times New Roman"/>
          <w:sz w:val="28"/>
          <w:szCs w:val="28"/>
        </w:rPr>
        <w:t xml:space="preserve">осударственных и муниципальных услуг (прилагается). </w:t>
      </w:r>
    </w:p>
    <w:p w:rsidR="00961EFF" w:rsidRPr="00AD1A2C" w:rsidRDefault="005162BC" w:rsidP="00AD1A2C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D1A2C">
        <w:rPr>
          <w:rFonts w:ascii="Times New Roman" w:hAnsi="Times New Roman"/>
          <w:sz w:val="28"/>
          <w:szCs w:val="28"/>
        </w:rPr>
        <w:t>Постановление г</w:t>
      </w:r>
      <w:r w:rsidR="007367BC" w:rsidRPr="00AD1A2C">
        <w:rPr>
          <w:rFonts w:ascii="Times New Roman" w:hAnsi="Times New Roman"/>
          <w:sz w:val="28"/>
          <w:szCs w:val="28"/>
        </w:rPr>
        <w:t xml:space="preserve">лавы городского округа Зарайск </w:t>
      </w:r>
      <w:r w:rsidR="001F5EDF" w:rsidRPr="00AD1A2C">
        <w:rPr>
          <w:rFonts w:ascii="Times New Roman" w:hAnsi="Times New Roman"/>
          <w:sz w:val="28"/>
          <w:szCs w:val="28"/>
        </w:rPr>
        <w:t>от 06.02.2018 № 250/2 «</w:t>
      </w:r>
      <w:r w:rsidR="00961EFF" w:rsidRPr="00AD1A2C">
        <w:rPr>
          <w:rFonts w:ascii="Times New Roman" w:hAnsi="Times New Roman"/>
          <w:sz w:val="28"/>
          <w:szCs w:val="28"/>
        </w:rPr>
        <w:t>Об  утверждении Перечня  государственных и муниципальных  услуг (функций), предоставляемых администра</w:t>
      </w:r>
      <w:r w:rsidR="00AD1A2C">
        <w:rPr>
          <w:rFonts w:ascii="Times New Roman" w:hAnsi="Times New Roman"/>
          <w:sz w:val="28"/>
          <w:szCs w:val="28"/>
        </w:rPr>
        <w:t xml:space="preserve">цией городского округа Зарайск </w:t>
      </w:r>
      <w:r w:rsidR="00961EFF" w:rsidRPr="00AD1A2C">
        <w:rPr>
          <w:rFonts w:ascii="Times New Roman" w:hAnsi="Times New Roman"/>
          <w:sz w:val="28"/>
          <w:szCs w:val="28"/>
        </w:rPr>
        <w:t>Московской области по принципу «одно</w:t>
      </w:r>
      <w:r w:rsidR="00AD1A2C">
        <w:rPr>
          <w:rFonts w:ascii="Times New Roman" w:hAnsi="Times New Roman"/>
          <w:sz w:val="28"/>
          <w:szCs w:val="28"/>
        </w:rPr>
        <w:t xml:space="preserve">го окна» в многофункциональном </w:t>
      </w:r>
      <w:r w:rsidR="00961EFF" w:rsidRPr="00AD1A2C">
        <w:rPr>
          <w:rFonts w:ascii="Times New Roman" w:hAnsi="Times New Roman"/>
          <w:sz w:val="28"/>
          <w:szCs w:val="28"/>
        </w:rPr>
        <w:t>центре государственных и муниципальных услуг</w:t>
      </w:r>
      <w:r w:rsidR="00AD1A2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367BC" w:rsidRPr="007367BC" w:rsidRDefault="007367BC" w:rsidP="00AD1A2C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B1DCF" w:rsidRDefault="001F5EDF" w:rsidP="00AD1A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367BC" w:rsidRPr="007367BC" w:rsidRDefault="001F5EDF" w:rsidP="001B1D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7367BC" w:rsidRPr="007367BC">
        <w:rPr>
          <w:sz w:val="28"/>
          <w:szCs w:val="28"/>
        </w:rPr>
        <w:t>Руководителям подразделений, ответственным за пред</w:t>
      </w:r>
      <w:r w:rsidR="007367BC">
        <w:rPr>
          <w:sz w:val="28"/>
          <w:szCs w:val="28"/>
        </w:rPr>
        <w:t xml:space="preserve">оставление муниципальных </w:t>
      </w:r>
      <w:r w:rsidR="007367BC" w:rsidRPr="007367BC">
        <w:rPr>
          <w:sz w:val="28"/>
          <w:szCs w:val="28"/>
        </w:rPr>
        <w:t>услуг (функций), указанных в Перечне, утвердить административные регламенты предоставлени</w:t>
      </w:r>
      <w:r w:rsidR="001B1DCF">
        <w:rPr>
          <w:sz w:val="28"/>
          <w:szCs w:val="28"/>
        </w:rPr>
        <w:t xml:space="preserve">я муниципальных услуг (функций), </w:t>
      </w:r>
      <w:r w:rsidR="00AD1A2C">
        <w:rPr>
          <w:sz w:val="28"/>
          <w:szCs w:val="28"/>
        </w:rPr>
        <w:t>если они не введены в действие ранее</w:t>
      </w:r>
      <w:r w:rsidR="001B1DCF">
        <w:rPr>
          <w:sz w:val="28"/>
          <w:szCs w:val="28"/>
        </w:rPr>
        <w:t>.</w:t>
      </w:r>
    </w:p>
    <w:p w:rsidR="007367BC" w:rsidRPr="007367BC" w:rsidRDefault="007367BC" w:rsidP="00AD1A2C">
      <w:pPr>
        <w:spacing w:line="276" w:lineRule="auto"/>
        <w:jc w:val="both"/>
        <w:rPr>
          <w:sz w:val="28"/>
          <w:szCs w:val="28"/>
        </w:rPr>
      </w:pPr>
      <w:r w:rsidRPr="007367BC">
        <w:rPr>
          <w:sz w:val="28"/>
          <w:szCs w:val="28"/>
        </w:rPr>
        <w:t xml:space="preserve">      4. 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7367BC" w:rsidRPr="007367BC" w:rsidRDefault="007367BC" w:rsidP="00AD1A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7BC" w:rsidRDefault="007367BC" w:rsidP="001F5EDF">
      <w:pPr>
        <w:spacing w:line="276" w:lineRule="auto"/>
        <w:jc w:val="both"/>
        <w:rPr>
          <w:sz w:val="28"/>
          <w:szCs w:val="28"/>
        </w:rPr>
      </w:pPr>
    </w:p>
    <w:p w:rsidR="007367BC" w:rsidRDefault="007367BC" w:rsidP="007367BC">
      <w:pPr>
        <w:jc w:val="both"/>
        <w:rPr>
          <w:sz w:val="28"/>
          <w:szCs w:val="28"/>
        </w:rPr>
      </w:pP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67BC" w:rsidRPr="00BE4D39" w:rsidRDefault="007367BC" w:rsidP="007367BC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7367BC" w:rsidRPr="00BE4D39" w:rsidRDefault="007367BC" w:rsidP="007367BC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7367BC" w:rsidRDefault="007367BC" w:rsidP="007367BC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</w:p>
    <w:p w:rsidR="007367BC" w:rsidRDefault="007367BC" w:rsidP="007367BC">
      <w:pPr>
        <w:jc w:val="both"/>
        <w:rPr>
          <w:sz w:val="28"/>
          <w:szCs w:val="28"/>
        </w:rPr>
      </w:pPr>
    </w:p>
    <w:p w:rsidR="007367BC" w:rsidRDefault="007367BC" w:rsidP="007367BC">
      <w:pPr>
        <w:jc w:val="both"/>
        <w:rPr>
          <w:sz w:val="28"/>
          <w:szCs w:val="28"/>
        </w:rPr>
      </w:pPr>
    </w:p>
    <w:p w:rsidR="00AD1A2C" w:rsidRDefault="00AD1A2C" w:rsidP="007367BC">
      <w:pPr>
        <w:jc w:val="both"/>
        <w:rPr>
          <w:sz w:val="28"/>
          <w:szCs w:val="28"/>
        </w:rPr>
      </w:pPr>
    </w:p>
    <w:p w:rsidR="00AD1A2C" w:rsidRDefault="00AD1A2C" w:rsidP="007367BC">
      <w:pPr>
        <w:jc w:val="both"/>
        <w:rPr>
          <w:sz w:val="28"/>
          <w:szCs w:val="28"/>
        </w:rPr>
      </w:pPr>
    </w:p>
    <w:p w:rsidR="00AD1A2C" w:rsidRDefault="00AD1A2C" w:rsidP="007367BC">
      <w:pPr>
        <w:jc w:val="both"/>
        <w:rPr>
          <w:sz w:val="28"/>
          <w:szCs w:val="28"/>
        </w:rPr>
      </w:pPr>
    </w:p>
    <w:p w:rsidR="00AD1A2C" w:rsidRDefault="00AD1A2C" w:rsidP="007367BC">
      <w:pPr>
        <w:jc w:val="both"/>
        <w:rPr>
          <w:sz w:val="28"/>
          <w:szCs w:val="28"/>
        </w:rPr>
      </w:pPr>
    </w:p>
    <w:p w:rsidR="00AD1A2C" w:rsidRDefault="00AD1A2C" w:rsidP="007367BC">
      <w:pPr>
        <w:jc w:val="both"/>
        <w:rPr>
          <w:sz w:val="28"/>
          <w:szCs w:val="28"/>
        </w:rPr>
      </w:pPr>
    </w:p>
    <w:p w:rsidR="007367BC" w:rsidRPr="007367BC" w:rsidRDefault="007367BC" w:rsidP="007367BC">
      <w:pPr>
        <w:jc w:val="both"/>
        <w:rPr>
          <w:sz w:val="28"/>
          <w:szCs w:val="28"/>
        </w:rPr>
      </w:pPr>
      <w:proofErr w:type="gramStart"/>
      <w:r w:rsidRPr="007367BC">
        <w:rPr>
          <w:sz w:val="28"/>
          <w:szCs w:val="28"/>
        </w:rPr>
        <w:t xml:space="preserve">Послано: в дело, </w:t>
      </w:r>
      <w:proofErr w:type="spellStart"/>
      <w:r w:rsidRPr="007367BC">
        <w:rPr>
          <w:sz w:val="28"/>
          <w:szCs w:val="28"/>
        </w:rPr>
        <w:t>Кочергаевой</w:t>
      </w:r>
      <w:proofErr w:type="spellEnd"/>
      <w:r w:rsidRPr="007367BC">
        <w:rPr>
          <w:sz w:val="28"/>
          <w:szCs w:val="28"/>
        </w:rPr>
        <w:t xml:space="preserve"> Л.А., Давыдову</w:t>
      </w:r>
      <w:r w:rsidR="001F5EDF">
        <w:rPr>
          <w:sz w:val="28"/>
          <w:szCs w:val="28"/>
        </w:rPr>
        <w:t xml:space="preserve"> В.Ю., Матвееву С.Н., </w:t>
      </w:r>
      <w:proofErr w:type="spellStart"/>
      <w:r w:rsidR="001F5EDF">
        <w:rPr>
          <w:sz w:val="28"/>
          <w:szCs w:val="28"/>
        </w:rPr>
        <w:t>Сальтонсу</w:t>
      </w:r>
      <w:proofErr w:type="spellEnd"/>
      <w:r w:rsidR="001F5EDF">
        <w:rPr>
          <w:sz w:val="28"/>
          <w:szCs w:val="28"/>
        </w:rPr>
        <w:t xml:space="preserve"> В.Н., </w:t>
      </w:r>
      <w:proofErr w:type="spellStart"/>
      <w:r w:rsidR="001F5EDF">
        <w:rPr>
          <w:sz w:val="28"/>
          <w:szCs w:val="28"/>
        </w:rPr>
        <w:t>Простокваш</w:t>
      </w:r>
      <w:r w:rsidRPr="007367BC">
        <w:rPr>
          <w:sz w:val="28"/>
          <w:szCs w:val="28"/>
        </w:rPr>
        <w:t>ину</w:t>
      </w:r>
      <w:proofErr w:type="spellEnd"/>
      <w:r w:rsidRPr="007367BC">
        <w:rPr>
          <w:sz w:val="28"/>
          <w:szCs w:val="28"/>
        </w:rPr>
        <w:t xml:space="preserve"> А.Г, Минаевой Ю.О., Марковой О.Е., Шмакову Р.В.,</w:t>
      </w:r>
      <w:r w:rsidR="001F5EDF">
        <w:rPr>
          <w:sz w:val="28"/>
          <w:szCs w:val="28"/>
        </w:rPr>
        <w:t xml:space="preserve">                  </w:t>
      </w:r>
      <w:r w:rsidRPr="007367BC">
        <w:rPr>
          <w:sz w:val="28"/>
          <w:szCs w:val="28"/>
        </w:rPr>
        <w:t xml:space="preserve"> </w:t>
      </w:r>
      <w:proofErr w:type="spellStart"/>
      <w:r w:rsidRPr="007367BC">
        <w:rPr>
          <w:sz w:val="28"/>
          <w:szCs w:val="28"/>
        </w:rPr>
        <w:t>Левковской</w:t>
      </w:r>
      <w:proofErr w:type="spellEnd"/>
      <w:r w:rsidRPr="007367BC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, Кулешовой О.А., Маркиной Л.В., </w:t>
      </w:r>
      <w:r w:rsidR="001F5EDF">
        <w:rPr>
          <w:sz w:val="28"/>
          <w:szCs w:val="28"/>
        </w:rPr>
        <w:t>Минину В.А.,</w:t>
      </w:r>
      <w:r w:rsidRPr="007367BC">
        <w:rPr>
          <w:sz w:val="28"/>
          <w:szCs w:val="28"/>
        </w:rPr>
        <w:t xml:space="preserve"> </w:t>
      </w:r>
      <w:proofErr w:type="spellStart"/>
      <w:r w:rsidRPr="007367BC">
        <w:rPr>
          <w:sz w:val="28"/>
          <w:szCs w:val="28"/>
        </w:rPr>
        <w:t>Шотиной</w:t>
      </w:r>
      <w:proofErr w:type="spellEnd"/>
      <w:r w:rsidRPr="007367BC">
        <w:rPr>
          <w:sz w:val="28"/>
          <w:szCs w:val="28"/>
        </w:rPr>
        <w:t xml:space="preserve"> Е.В., Комму В.Б., Ермаковой Н.С., Со</w:t>
      </w:r>
      <w:r w:rsidR="001F5EDF">
        <w:rPr>
          <w:sz w:val="28"/>
          <w:szCs w:val="28"/>
        </w:rPr>
        <w:t xml:space="preserve">коловой А.В., Соловьевой О.В., </w:t>
      </w:r>
      <w:proofErr w:type="spellStart"/>
      <w:r w:rsidRPr="007367BC">
        <w:rPr>
          <w:sz w:val="28"/>
          <w:szCs w:val="28"/>
        </w:rPr>
        <w:t>Юрковой</w:t>
      </w:r>
      <w:proofErr w:type="spellEnd"/>
      <w:r w:rsidRPr="007367BC">
        <w:rPr>
          <w:sz w:val="28"/>
          <w:szCs w:val="28"/>
        </w:rPr>
        <w:t xml:space="preserve">  И.А., газете «За новую</w:t>
      </w:r>
      <w:proofErr w:type="gramEnd"/>
      <w:r w:rsidRPr="007367BC">
        <w:rPr>
          <w:sz w:val="28"/>
          <w:szCs w:val="28"/>
        </w:rPr>
        <w:t xml:space="preserve"> жизнь», прокуратуре.</w:t>
      </w:r>
    </w:p>
    <w:p w:rsidR="007367BC" w:rsidRPr="007367BC" w:rsidRDefault="007367BC" w:rsidP="007367B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7367BC" w:rsidRDefault="007367BC" w:rsidP="007367BC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 w:rsidRPr="007367BC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7367BC">
        <w:rPr>
          <w:sz w:val="28"/>
          <w:szCs w:val="28"/>
        </w:rPr>
        <w:t>Соловьева</w:t>
      </w:r>
      <w:r w:rsidR="0020161E" w:rsidRPr="007367BC">
        <w:rPr>
          <w:sz w:val="28"/>
          <w:szCs w:val="28"/>
        </w:rPr>
        <w:tab/>
      </w:r>
    </w:p>
    <w:p w:rsidR="0020161E" w:rsidRPr="007367BC" w:rsidRDefault="007367BC" w:rsidP="001B3EF2">
      <w:pPr>
        <w:jc w:val="both"/>
        <w:rPr>
          <w:sz w:val="28"/>
          <w:szCs w:val="28"/>
        </w:rPr>
      </w:pPr>
      <w:r>
        <w:rPr>
          <w:sz w:val="28"/>
          <w:szCs w:val="28"/>
        </w:rPr>
        <w:t>2-50-58</w:t>
      </w:r>
    </w:p>
    <w:p w:rsidR="007D7578" w:rsidRPr="007367BC" w:rsidRDefault="007D7578" w:rsidP="00D974C5">
      <w:pPr>
        <w:jc w:val="both"/>
        <w:rPr>
          <w:sz w:val="28"/>
          <w:szCs w:val="28"/>
        </w:rPr>
      </w:pPr>
    </w:p>
    <w:p w:rsidR="001B3EF2" w:rsidRDefault="001B3EF2" w:rsidP="00D974C5">
      <w:pPr>
        <w:jc w:val="both"/>
        <w:rPr>
          <w:sz w:val="28"/>
          <w:szCs w:val="28"/>
        </w:rPr>
      </w:pPr>
    </w:p>
    <w:p w:rsidR="001B3EF2" w:rsidRDefault="001B3EF2" w:rsidP="00D974C5">
      <w:pPr>
        <w:jc w:val="both"/>
        <w:rPr>
          <w:sz w:val="28"/>
          <w:szCs w:val="28"/>
        </w:rPr>
      </w:pPr>
    </w:p>
    <w:p w:rsidR="0020161E" w:rsidRPr="00BE4D39" w:rsidRDefault="007367BC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AC2811" w:rsidRDefault="00AC2811" w:rsidP="00AC28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 16.01.2019 № 47/1</w:t>
      </w: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right"/>
        <w:rPr>
          <w:sz w:val="28"/>
          <w:szCs w:val="28"/>
        </w:rPr>
      </w:pPr>
    </w:p>
    <w:p w:rsidR="00AC2811" w:rsidRDefault="00AC2811" w:rsidP="00AC2811">
      <w:pPr>
        <w:jc w:val="center"/>
        <w:rPr>
          <w:b/>
        </w:rPr>
      </w:pPr>
      <w:r>
        <w:rPr>
          <w:b/>
        </w:rPr>
        <w:t xml:space="preserve">Перечень </w:t>
      </w:r>
    </w:p>
    <w:p w:rsidR="00AC2811" w:rsidRDefault="00AC2811" w:rsidP="00AC2811">
      <w:pPr>
        <w:jc w:val="center"/>
        <w:rPr>
          <w:b/>
        </w:rPr>
      </w:pPr>
      <w:r>
        <w:rPr>
          <w:b/>
        </w:rPr>
        <w:t>государственных и муниципальных  услуг (функций), предоставляемых администрацией городского округа Зарайск Московской области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</w:t>
      </w:r>
    </w:p>
    <w:p w:rsidR="00AC2811" w:rsidRDefault="00AC2811" w:rsidP="00AC2811">
      <w:pPr>
        <w:jc w:val="center"/>
        <w:rPr>
          <w:b/>
        </w:rPr>
      </w:pPr>
    </w:p>
    <w:p w:rsidR="00AC2811" w:rsidRDefault="00AC2811" w:rsidP="00AC281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302"/>
        <w:gridCol w:w="4426"/>
      </w:tblGrid>
      <w:tr w:rsidR="00AC2811" w:rsidTr="00AC2811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  услуги</w:t>
            </w: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Наименование отраслевого (функционального) органа администрации городского округа </w:t>
            </w:r>
          </w:p>
          <w:p w:rsidR="00AC2811" w:rsidRDefault="00AC2811" w:rsidP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райск, муниципального учреждения, предприятия, оказывающие  муниципальные  услуги</w:t>
            </w:r>
          </w:p>
        </w:tc>
      </w:tr>
      <w:tr w:rsidR="00AC2811" w:rsidTr="00AC2811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по расчету субсидий на оплату жилого помещения и коммунальных услуг администрации  городского округа Зарайск</w:t>
            </w:r>
          </w:p>
        </w:tc>
      </w:tr>
      <w:tr w:rsidR="00AC2811" w:rsidTr="00AC2811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Архивный  отдел администрации городского округа Зарайск </w:t>
            </w:r>
          </w:p>
        </w:tc>
      </w:tr>
      <w:tr w:rsidR="00AC2811" w:rsidTr="00AC2811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муниципальных услуг и обращений граждан администрации городского округа Зарайск</w:t>
            </w:r>
          </w:p>
        </w:tc>
      </w:tr>
      <w:tr w:rsidR="00AC2811" w:rsidTr="00AC2811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Признание в установленном порядке жилых помещений жилищного фонда непригодными для проживания.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решения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 администрации 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разрешений на установку и эксплуатацию рекламных конструкций, аннулирование ранее выданных разрешений.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Государственная услуга по присвоению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 переустройства и (или) перепланировки жилого  помещения.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 на территории  Московской области.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размещения нестационарных торговых объектов.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>
              <w:rPr>
                <w:bCs/>
                <w:sz w:val="20"/>
              </w:rPr>
              <w:tab/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Выдача разрешения на вырубку зеленых </w:t>
            </w:r>
            <w:proofErr w:type="gramStart"/>
            <w:r>
              <w:rPr>
                <w:bCs/>
                <w:sz w:val="20"/>
              </w:rPr>
              <w:t>насаждений-порубочного</w:t>
            </w:r>
            <w:proofErr w:type="gramEnd"/>
            <w:r>
              <w:rPr>
                <w:bCs/>
                <w:sz w:val="20"/>
              </w:rPr>
              <w:t xml:space="preserve"> билета.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Отдел архитектуры и градостроительства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Предоставление информации о порядке предоставления   жилищно-коммунальных услуг населению.  </w:t>
            </w:r>
            <w:r>
              <w:rPr>
                <w:b/>
                <w:sz w:val="20"/>
              </w:rPr>
              <w:t xml:space="preserve"> 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ЖКХ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Выдача единого жилищного документа, выписки из домовой книги, карточки учета собственника жилого помещения, справок и иных документов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Отдел ЖКХ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справки (акта) о наличии (отсутствии) задолженности по арендной плате за земельные участки,  находящиеся в муниципальной собственности или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Установление сервитута  в  отношении 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z w:val="20"/>
              </w:rPr>
              <w:t xml:space="preserve">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</w:t>
            </w:r>
            <w:r>
              <w:rPr>
                <w:sz w:val="20"/>
              </w:rPr>
              <w:lastRenderedPageBreak/>
              <w:t>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9" w:tooltip="Комитет по культуре, физической культуре, спорту и молодежной политике" w:history="1">
              <w:r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доступа к справочно-поисковому аппарату библиотек, базам данных» в библиотеках МБУК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централизованная библиотечная система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10" w:tooltip="Комитет по культуре, физической культуре, спорту и молодежной политике" w:history="1">
              <w:r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11" w:tooltip="Комитет по культуре, физической культуре, спорту и молодежной политике" w:history="1">
              <w:r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Предоставление доступа к оцифрованным изданиям, хранящимся в МБУК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централизованная библиотечная система» городского округа Зарайск, в том числе к фонду редких книг, с учетом соблюдения требований законодательства РФ об авторских и смежных правах.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  <w:hyperlink r:id="rId12" w:tooltip="Комитет по культуре, физической культуре, спорту и молодежной политике" w:history="1">
              <w:r w:rsidRPr="00AC2811">
                <w:rPr>
                  <w:rStyle w:val="af0"/>
                  <w:color w:val="000000" w:themeColor="text1"/>
                  <w:sz w:val="20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AC2811">
              <w:rPr>
                <w:color w:val="000000" w:themeColor="text1"/>
                <w:sz w:val="20"/>
              </w:rPr>
              <w:t xml:space="preserve"> администрации городского округа Зарайск</w:t>
            </w:r>
          </w:p>
          <w:p w:rsidR="00AC2811" w:rsidRP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bCs/>
                <w:sz w:val="20"/>
              </w:rPr>
              <w:t>Прием в организации дополнительного образования и организации, осуществляющие спортивную подготовку, в городском округе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Прием на </w:t>
            </w:r>
            <w:proofErr w:type="gramStart"/>
            <w:r>
              <w:rPr>
                <w:sz w:val="20"/>
              </w:rPr>
              <w:t>обучение по</w:t>
            </w:r>
            <w:proofErr w:type="gramEnd"/>
            <w:r>
              <w:rPr>
                <w:sz w:val="20"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Предоставление информации о результатах сданных экзаменов, тестирования и иных </w:t>
            </w:r>
            <w:r>
              <w:rPr>
                <w:sz w:val="20"/>
              </w:rPr>
              <w:lastRenderedPageBreak/>
              <w:t>вступительных испытаний, а также о зачислении в образовательную организацию.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rPr>
                <w:sz w:val="20"/>
              </w:rPr>
              <w:lastRenderedPageBreak/>
              <w:t>Управление образования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городского округа Зарайск</w:t>
            </w:r>
          </w:p>
          <w:p w:rsidR="00AC2811" w:rsidRDefault="00AC2811"/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поддержки субъектам малого и среднего предпринимательства в рамках реализации муниципальной программы в городском округе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  экономики и инвестиций     администрации 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Предоставление места для одиночного, родственного,  воинского,  почетного, семейного (родового) захоронения  или  ниши  в стене  скорби на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 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Регистрация установки и замены надмогильных сооружений (надгробий) на 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Перерегистрация захоронений на других лиц и оформлению удостоверений о захоронении на  территории городского округа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r>
              <w:t>МКУ « Зарайский Ритуал»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Постановка 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</w:p>
          <w:p w:rsidR="00AC2811" w:rsidRDefault="00AC2811">
            <w:pPr>
              <w:tabs>
                <w:tab w:val="left" w:pos="29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справки об очередности предоставления жилых помещений на условиях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Предоставление жилых помещений специализированного жилищного фонда.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Постановка многодетных семей на учет в целях бесплатного предоставления земельных участков.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spacing w:after="200" w:line="276" w:lineRule="auto"/>
              <w:rPr>
                <w:bCs/>
                <w:sz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согласия нанимателя на вселение  других граждан в качестве проживающих совместно с ним членов своей семьи в жилые помещения, представленные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Выдача документов на приватизацию жилых помещений муниципального жилищного фонда.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жилищной политики 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«Выдача согласия на строительство, реконструкцию в границах полосы отвода и придорожной полосы и на присоединение </w:t>
            </w:r>
            <w:r>
              <w:rPr>
                <w:bCs/>
                <w:sz w:val="20"/>
              </w:rPr>
              <w:lastRenderedPageBreak/>
              <w:t>(примыкание) к автомобильной дороге общего пользования муниципального значения городского округа Зарайск Московской области»».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дорог».</w:t>
            </w: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  <w:p w:rsidR="00AC2811" w:rsidRDefault="00AC2811">
            <w:pPr>
              <w:rPr>
                <w:sz w:val="22"/>
                <w:szCs w:val="22"/>
              </w:rPr>
            </w:pPr>
          </w:p>
          <w:p w:rsidR="00AC2811" w:rsidRDefault="00AC2811">
            <w:pPr>
              <w:rPr>
                <w:sz w:val="22"/>
                <w:szCs w:val="22"/>
              </w:rPr>
            </w:pPr>
          </w:p>
        </w:tc>
      </w:tr>
    </w:tbl>
    <w:p w:rsidR="00AC2811" w:rsidRDefault="00AC2811" w:rsidP="00AC2811">
      <w:bookmarkStart w:id="0" w:name="_GoBack"/>
      <w:bookmarkEnd w:id="0"/>
    </w:p>
    <w:p w:rsidR="00AC2811" w:rsidRDefault="00AC2811" w:rsidP="00AC2811">
      <w:pPr>
        <w:jc w:val="center"/>
      </w:pPr>
    </w:p>
    <w:p w:rsidR="00AC2811" w:rsidRDefault="00AC2811" w:rsidP="00AC2811">
      <w:pPr>
        <w:jc w:val="center"/>
      </w:pPr>
    </w:p>
    <w:p w:rsidR="00AC2811" w:rsidRDefault="00AC2811" w:rsidP="00AC2811">
      <w:pPr>
        <w:jc w:val="center"/>
        <w:rPr>
          <w:bCs/>
          <w:spacing w:val="-3"/>
          <w:sz w:val="20"/>
        </w:rPr>
      </w:pPr>
      <w:r>
        <w:t>Перечень  муниципальных функций</w:t>
      </w:r>
    </w:p>
    <w:p w:rsidR="00AC2811" w:rsidRDefault="00AC2811" w:rsidP="00AC2811">
      <w:pPr>
        <w:jc w:val="center"/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4392"/>
      </w:tblGrid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Проведение проверок при осуществлении муниципального земельного контроля администрацией городского округа Зарайск.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Комитет  по  управлению  имуществом 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0"/>
              </w:rPr>
            </w:pPr>
            <w:hyperlink r:id="rId13" w:history="1">
              <w:r>
                <w:rPr>
                  <w:rStyle w:val="af0"/>
                  <w:color w:val="000000"/>
                  <w:sz w:val="20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транспорта и дорожного хозяйства</w:t>
            </w:r>
          </w:p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2"/>
                <w:szCs w:val="22"/>
              </w:rPr>
              <w:t>администрации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 городского округа Зарайск</w:t>
            </w:r>
          </w:p>
        </w:tc>
      </w:tr>
      <w:tr w:rsidR="00AC2811" w:rsidTr="00AC2811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1" w:rsidRDefault="00AC281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Отдел  ЖКХ  администрации  городского округа Зарайск</w:t>
            </w:r>
          </w:p>
        </w:tc>
      </w:tr>
    </w:tbl>
    <w:p w:rsidR="00AC2811" w:rsidRDefault="00AC2811" w:rsidP="00AC2811">
      <w:pPr>
        <w:autoSpaceDE w:val="0"/>
        <w:autoSpaceDN w:val="0"/>
        <w:adjustRightInd w:val="0"/>
        <w:ind w:firstLine="540"/>
        <w:jc w:val="both"/>
        <w:outlineLvl w:val="1"/>
        <w:rPr>
          <w:szCs w:val="20"/>
        </w:rPr>
      </w:pPr>
    </w:p>
    <w:p w:rsidR="00AC2811" w:rsidRDefault="00AC2811" w:rsidP="00AC2811">
      <w:pPr>
        <w:autoSpaceDE w:val="0"/>
        <w:autoSpaceDN w:val="0"/>
        <w:adjustRightInd w:val="0"/>
        <w:ind w:firstLine="540"/>
        <w:jc w:val="both"/>
        <w:outlineLvl w:val="1"/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AD1A2C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A" w:rsidRDefault="00E3039A">
      <w:r>
        <w:separator/>
      </w:r>
    </w:p>
  </w:endnote>
  <w:endnote w:type="continuationSeparator" w:id="0">
    <w:p w:rsidR="00E3039A" w:rsidRDefault="00E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A" w:rsidRDefault="00E3039A">
      <w:r>
        <w:separator/>
      </w:r>
    </w:p>
  </w:footnote>
  <w:footnote w:type="continuationSeparator" w:id="0">
    <w:p w:rsidR="00E3039A" w:rsidRDefault="00E3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5830057"/>
    <w:multiLevelType w:val="hybridMultilevel"/>
    <w:tmpl w:val="01F0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53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26BC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DCF"/>
    <w:rsid w:val="001B3EF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EDF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8F9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78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2BC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67BC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430B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1EFF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2811"/>
    <w:rsid w:val="00AC3B33"/>
    <w:rsid w:val="00AC6A62"/>
    <w:rsid w:val="00AC6DF2"/>
    <w:rsid w:val="00AC7127"/>
    <w:rsid w:val="00AC7DD2"/>
    <w:rsid w:val="00AD0276"/>
    <w:rsid w:val="00AD1A2C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1740C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39A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DF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ED4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rayon.ru/local/images/zaradm/dorogi_doc_1428567394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rrayon.ru/mservices/ku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mservices/kul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arrayon.ru/mservices/ku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rrayon.ru/mservices/kul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140-0AC3-4F68-A104-55031A61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254</cp:revision>
  <cp:lastPrinted>2018-12-17T11:17:00Z</cp:lastPrinted>
  <dcterms:created xsi:type="dcterms:W3CDTF">2018-01-30T13:13:00Z</dcterms:created>
  <dcterms:modified xsi:type="dcterms:W3CDTF">2019-01-17T12:13:00Z</dcterms:modified>
</cp:coreProperties>
</file>