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794207" w:rsidRDefault="00DF6CA4" w:rsidP="00600E61">
      <w:pPr>
        <w:jc w:val="both"/>
        <w:rPr>
          <w:sz w:val="36"/>
          <w:szCs w:val="36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9C4C52" w:rsidRDefault="003651E8" w:rsidP="003651E8">
      <w:pPr>
        <w:jc w:val="both"/>
        <w:rPr>
          <w:sz w:val="28"/>
          <w:szCs w:val="28"/>
        </w:rPr>
      </w:pPr>
    </w:p>
    <w:p w:rsidR="008E3648" w:rsidRPr="009C4C52" w:rsidRDefault="008E3648" w:rsidP="003651E8">
      <w:pPr>
        <w:jc w:val="both"/>
        <w:rPr>
          <w:sz w:val="28"/>
          <w:szCs w:val="28"/>
        </w:rPr>
      </w:pPr>
    </w:p>
    <w:p w:rsidR="001F22DC" w:rsidRPr="009C4C52" w:rsidRDefault="00B66C25" w:rsidP="001F22DC">
      <w:pPr>
        <w:jc w:val="both"/>
        <w:rPr>
          <w:sz w:val="28"/>
          <w:szCs w:val="28"/>
        </w:rPr>
      </w:pPr>
      <w:r w:rsidRPr="009C4C52">
        <w:rPr>
          <w:sz w:val="28"/>
          <w:szCs w:val="28"/>
        </w:rPr>
        <w:t xml:space="preserve">                        </w:t>
      </w:r>
      <w:r w:rsidR="002D2FA3">
        <w:rPr>
          <w:sz w:val="28"/>
          <w:szCs w:val="28"/>
        </w:rPr>
        <w:t xml:space="preserve">      </w:t>
      </w:r>
      <w:r w:rsidR="00794207">
        <w:rPr>
          <w:sz w:val="28"/>
          <w:szCs w:val="28"/>
        </w:rPr>
        <w:t xml:space="preserve">    </w:t>
      </w:r>
      <w:r w:rsidR="007B0B00">
        <w:rPr>
          <w:sz w:val="28"/>
          <w:szCs w:val="28"/>
        </w:rPr>
        <w:t xml:space="preserve">   09</w:t>
      </w:r>
      <w:r w:rsidR="0047155D">
        <w:rPr>
          <w:sz w:val="28"/>
          <w:szCs w:val="28"/>
        </w:rPr>
        <w:t>.12</w:t>
      </w:r>
      <w:r w:rsidR="00495BAE" w:rsidRPr="009C4C52">
        <w:rPr>
          <w:sz w:val="28"/>
          <w:szCs w:val="28"/>
        </w:rPr>
        <w:t>.2020</w:t>
      </w:r>
      <w:r w:rsidR="00A2768E" w:rsidRPr="009C4C52">
        <w:rPr>
          <w:sz w:val="28"/>
          <w:szCs w:val="28"/>
        </w:rPr>
        <w:t xml:space="preserve">      </w:t>
      </w:r>
      <w:r w:rsidR="00CC19A1" w:rsidRPr="009C4C52">
        <w:rPr>
          <w:sz w:val="28"/>
          <w:szCs w:val="28"/>
        </w:rPr>
        <w:t xml:space="preserve"> </w:t>
      </w:r>
      <w:r w:rsidR="007B3793" w:rsidRPr="009C4C52">
        <w:rPr>
          <w:sz w:val="28"/>
          <w:szCs w:val="28"/>
        </w:rPr>
        <w:t xml:space="preserve"> </w:t>
      </w:r>
      <w:r w:rsidRPr="009C4C52">
        <w:rPr>
          <w:sz w:val="28"/>
          <w:szCs w:val="28"/>
        </w:rPr>
        <w:t xml:space="preserve"> </w:t>
      </w:r>
      <w:r w:rsidR="00B1547B" w:rsidRPr="009C4C52">
        <w:rPr>
          <w:sz w:val="28"/>
          <w:szCs w:val="28"/>
        </w:rPr>
        <w:t xml:space="preserve"> </w:t>
      </w:r>
      <w:r w:rsidR="00C83D49" w:rsidRPr="009C4C52">
        <w:rPr>
          <w:sz w:val="28"/>
          <w:szCs w:val="28"/>
        </w:rPr>
        <w:t xml:space="preserve"> </w:t>
      </w:r>
      <w:r w:rsidR="009810D9" w:rsidRPr="009C4C52">
        <w:rPr>
          <w:sz w:val="28"/>
          <w:szCs w:val="28"/>
        </w:rPr>
        <w:t xml:space="preserve"> </w:t>
      </w:r>
      <w:r w:rsidR="003F20B5" w:rsidRPr="009C4C52">
        <w:rPr>
          <w:sz w:val="28"/>
          <w:szCs w:val="28"/>
        </w:rPr>
        <w:t xml:space="preserve">  </w:t>
      </w:r>
      <w:r w:rsidR="007B0B00">
        <w:rPr>
          <w:sz w:val="28"/>
          <w:szCs w:val="28"/>
        </w:rPr>
        <w:t>1650</w:t>
      </w:r>
      <w:r w:rsidR="0047155D">
        <w:rPr>
          <w:sz w:val="28"/>
          <w:szCs w:val="28"/>
        </w:rPr>
        <w:t>/12</w:t>
      </w:r>
      <w:r w:rsidR="004C5F6B" w:rsidRPr="009C4C52">
        <w:rPr>
          <w:sz w:val="28"/>
          <w:szCs w:val="28"/>
        </w:rPr>
        <w:t xml:space="preserve">                          </w:t>
      </w:r>
      <w:r w:rsidR="004641F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4D76B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555848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AB07B2" w:rsidRPr="009C4C52">
        <w:rPr>
          <w:sz w:val="28"/>
          <w:szCs w:val="28"/>
        </w:rPr>
        <w:t xml:space="preserve">                                  </w:t>
      </w:r>
      <w:r w:rsidR="00F36B8C" w:rsidRPr="009C4C52">
        <w:rPr>
          <w:sz w:val="28"/>
          <w:szCs w:val="28"/>
        </w:rPr>
        <w:t xml:space="preserve"> </w:t>
      </w:r>
    </w:p>
    <w:p w:rsidR="00E45E51" w:rsidRDefault="00F42DD3" w:rsidP="00E45E51">
      <w:pPr>
        <w:jc w:val="both"/>
        <w:rPr>
          <w:sz w:val="28"/>
          <w:szCs w:val="28"/>
        </w:rPr>
      </w:pPr>
      <w:r w:rsidRPr="009C4C52">
        <w:rPr>
          <w:sz w:val="28"/>
          <w:szCs w:val="28"/>
        </w:rPr>
        <w:t xml:space="preserve"> </w:t>
      </w:r>
      <w:r w:rsidR="0020161E" w:rsidRPr="009C4C52">
        <w:rPr>
          <w:sz w:val="28"/>
          <w:szCs w:val="28"/>
        </w:rPr>
        <w:t xml:space="preserve"> </w:t>
      </w:r>
      <w:r w:rsidR="0008137C" w:rsidRPr="009C4C52">
        <w:rPr>
          <w:sz w:val="28"/>
          <w:szCs w:val="28"/>
        </w:rPr>
        <w:t xml:space="preserve"> </w:t>
      </w:r>
      <w:r w:rsidR="00174AA5" w:rsidRPr="009C4C52">
        <w:rPr>
          <w:sz w:val="28"/>
          <w:szCs w:val="28"/>
        </w:rPr>
        <w:t xml:space="preserve"> </w:t>
      </w:r>
      <w:r w:rsidR="0053462F" w:rsidRPr="009C4C52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9C4C52">
        <w:rPr>
          <w:sz w:val="28"/>
          <w:szCs w:val="28"/>
        </w:rPr>
        <w:t xml:space="preserve"> </w:t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D078B7" w:rsidRPr="009C4C52">
        <w:rPr>
          <w:sz w:val="28"/>
          <w:szCs w:val="28"/>
        </w:rPr>
        <w:t xml:space="preserve"> </w:t>
      </w:r>
    </w:p>
    <w:p w:rsidR="00E45E51" w:rsidRDefault="00E45E51" w:rsidP="00E45E51">
      <w:pPr>
        <w:jc w:val="both"/>
        <w:rPr>
          <w:sz w:val="28"/>
          <w:szCs w:val="28"/>
        </w:rPr>
      </w:pPr>
    </w:p>
    <w:p w:rsidR="00E45E51" w:rsidRDefault="00620C05" w:rsidP="00E45E51">
      <w:pPr>
        <w:rPr>
          <w:color w:val="000000"/>
          <w:sz w:val="28"/>
          <w:szCs w:val="28"/>
        </w:rPr>
      </w:pPr>
      <w:r w:rsidRPr="009C528C">
        <w:rPr>
          <w:sz w:val="28"/>
          <w:szCs w:val="28"/>
        </w:rPr>
        <w:t xml:space="preserve">                 </w:t>
      </w:r>
      <w:r w:rsidR="00476253" w:rsidRPr="009C528C">
        <w:rPr>
          <w:sz w:val="28"/>
          <w:szCs w:val="28"/>
        </w:rPr>
        <w:t xml:space="preserve"> </w:t>
      </w:r>
      <w:r w:rsidR="00E45E51">
        <w:rPr>
          <w:sz w:val="28"/>
          <w:szCs w:val="28"/>
        </w:rPr>
        <w:t xml:space="preserve">      </w:t>
      </w:r>
      <w:r w:rsidRPr="009C528C">
        <w:rPr>
          <w:sz w:val="28"/>
          <w:szCs w:val="28"/>
        </w:rPr>
        <w:t xml:space="preserve">  </w:t>
      </w:r>
      <w:r w:rsidR="00E45E51">
        <w:rPr>
          <w:sz w:val="28"/>
          <w:szCs w:val="28"/>
        </w:rPr>
        <w:t xml:space="preserve"> </w:t>
      </w:r>
      <w:r w:rsidR="00D078B7" w:rsidRPr="009C528C">
        <w:rPr>
          <w:sz w:val="28"/>
          <w:szCs w:val="28"/>
        </w:rPr>
        <w:t xml:space="preserve"> </w:t>
      </w:r>
      <w:r w:rsidRPr="009C528C">
        <w:rPr>
          <w:sz w:val="28"/>
          <w:szCs w:val="28"/>
        </w:rPr>
        <w:t>Об</w:t>
      </w:r>
      <w:r w:rsidR="00E45E51">
        <w:rPr>
          <w:sz w:val="28"/>
          <w:szCs w:val="28"/>
        </w:rPr>
        <w:t xml:space="preserve"> утверждении</w:t>
      </w:r>
      <w:r w:rsidRPr="009C528C">
        <w:rPr>
          <w:sz w:val="28"/>
          <w:szCs w:val="28"/>
        </w:rPr>
        <w:t xml:space="preserve"> </w:t>
      </w:r>
      <w:r w:rsidR="009C528C" w:rsidRPr="009C528C">
        <w:rPr>
          <w:color w:val="000000"/>
          <w:sz w:val="28"/>
          <w:szCs w:val="28"/>
        </w:rPr>
        <w:t xml:space="preserve">Порядка проведения </w:t>
      </w:r>
    </w:p>
    <w:p w:rsidR="00E45E51" w:rsidRDefault="00E45E51" w:rsidP="00E45E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9C528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  </w:t>
      </w:r>
      <w:r w:rsidR="009C528C" w:rsidRPr="009C528C">
        <w:rPr>
          <w:color w:val="000000"/>
          <w:sz w:val="28"/>
          <w:szCs w:val="28"/>
        </w:rPr>
        <w:t xml:space="preserve">конкурсного отбора </w:t>
      </w:r>
    </w:p>
    <w:p w:rsidR="00E45E51" w:rsidRDefault="00E45E51" w:rsidP="00E45E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9C528C" w:rsidRPr="009C528C">
        <w:rPr>
          <w:color w:val="000000"/>
          <w:sz w:val="28"/>
          <w:szCs w:val="28"/>
        </w:rPr>
        <w:t>проектов инициативного бюджетирования</w:t>
      </w:r>
    </w:p>
    <w:p w:rsidR="00E45E51" w:rsidRDefault="00E45E51" w:rsidP="00E45E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9C528C" w:rsidRPr="009C528C">
        <w:rPr>
          <w:color w:val="000000"/>
          <w:sz w:val="28"/>
          <w:szCs w:val="28"/>
        </w:rPr>
        <w:t>на территории городского округа</w:t>
      </w:r>
      <w:r>
        <w:rPr>
          <w:color w:val="000000"/>
          <w:sz w:val="28"/>
          <w:szCs w:val="28"/>
        </w:rPr>
        <w:t xml:space="preserve"> </w:t>
      </w:r>
      <w:r w:rsidR="009C528C" w:rsidRPr="009C528C">
        <w:rPr>
          <w:color w:val="000000"/>
          <w:sz w:val="28"/>
          <w:szCs w:val="28"/>
        </w:rPr>
        <w:t>Зарайск</w:t>
      </w:r>
    </w:p>
    <w:p w:rsidR="009C528C" w:rsidRPr="00E45E51" w:rsidRDefault="00E45E51" w:rsidP="00E45E51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9C528C" w:rsidRPr="009C528C">
        <w:rPr>
          <w:color w:val="000000"/>
          <w:sz w:val="28"/>
          <w:szCs w:val="28"/>
        </w:rPr>
        <w:t>Московской области</w:t>
      </w:r>
    </w:p>
    <w:p w:rsidR="009C528C" w:rsidRDefault="009C528C" w:rsidP="009C528C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1AB" w:rsidRPr="004301AB" w:rsidRDefault="004301AB" w:rsidP="009C528C">
      <w:pPr>
        <w:pStyle w:val="ConsPlusNormal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45E51" w:rsidRDefault="00E45E51" w:rsidP="00E4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C528C" w:rsidRPr="009C528C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="009C528C" w:rsidRPr="00E45E51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="009C528C" w:rsidRPr="009C528C">
        <w:rPr>
          <w:color w:val="000000"/>
          <w:sz w:val="28"/>
          <w:szCs w:val="28"/>
        </w:rPr>
        <w:t xml:space="preserve"> Московской области № 170/2018-ОЗ                               </w:t>
      </w:r>
      <w:r w:rsidR="009C528C" w:rsidRPr="009C528C">
        <w:rPr>
          <w:b/>
          <w:color w:val="000000"/>
          <w:sz w:val="28"/>
          <w:szCs w:val="28"/>
        </w:rPr>
        <w:t>«</w:t>
      </w:r>
      <w:r w:rsidR="009C528C" w:rsidRPr="009C528C">
        <w:rPr>
          <w:color w:val="000000"/>
          <w:sz w:val="28"/>
          <w:szCs w:val="28"/>
        </w:rPr>
        <w:t xml:space="preserve">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                                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 и на основании Распоряжения Главного управления территориальной политики Московской области   от 23.11.2020 г.№ 22  «Объявление о проведении конкурсного отбора проектов инициативного бюджетирования в Московской области в 2021 году», </w:t>
      </w:r>
      <w:r>
        <w:rPr>
          <w:color w:val="000000"/>
          <w:sz w:val="28"/>
          <w:szCs w:val="28"/>
        </w:rPr>
        <w:t xml:space="preserve">                       </w:t>
      </w:r>
    </w:p>
    <w:p w:rsidR="004301AB" w:rsidRPr="004301AB" w:rsidRDefault="00E45E51" w:rsidP="00E45E51">
      <w:pPr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</w:t>
      </w:r>
    </w:p>
    <w:p w:rsidR="009C528C" w:rsidRPr="004301AB" w:rsidRDefault="00E45E51" w:rsidP="00E45E51">
      <w:pPr>
        <w:jc w:val="both"/>
        <w:rPr>
          <w:color w:val="000000"/>
          <w:sz w:val="28"/>
          <w:szCs w:val="28"/>
        </w:rPr>
      </w:pPr>
      <w:r w:rsidRPr="004301AB">
        <w:rPr>
          <w:color w:val="000000"/>
          <w:sz w:val="28"/>
          <w:szCs w:val="28"/>
        </w:rPr>
        <w:t xml:space="preserve">         </w:t>
      </w:r>
      <w:r w:rsidR="004301AB" w:rsidRPr="004301AB">
        <w:rPr>
          <w:color w:val="000000"/>
          <w:sz w:val="28"/>
          <w:szCs w:val="28"/>
        </w:rPr>
        <w:t xml:space="preserve">                            </w:t>
      </w:r>
      <w:r w:rsidRPr="004301AB">
        <w:rPr>
          <w:color w:val="000000"/>
          <w:sz w:val="28"/>
          <w:szCs w:val="28"/>
        </w:rPr>
        <w:t xml:space="preserve"> П О С Т А Н О В Л Я Ю</w:t>
      </w:r>
      <w:r w:rsidR="009C528C" w:rsidRPr="004301AB">
        <w:rPr>
          <w:color w:val="000000"/>
          <w:sz w:val="28"/>
          <w:szCs w:val="28"/>
        </w:rPr>
        <w:t xml:space="preserve">: </w:t>
      </w:r>
    </w:p>
    <w:p w:rsidR="004301AB" w:rsidRPr="004301AB" w:rsidRDefault="004301AB" w:rsidP="00E45E51">
      <w:pPr>
        <w:jc w:val="both"/>
        <w:rPr>
          <w:color w:val="000000"/>
          <w:sz w:val="16"/>
          <w:szCs w:val="16"/>
        </w:rPr>
      </w:pPr>
    </w:p>
    <w:p w:rsidR="009C528C" w:rsidRPr="009C528C" w:rsidRDefault="00E45E51" w:rsidP="00E4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528C" w:rsidRPr="009C528C">
        <w:rPr>
          <w:color w:val="000000"/>
          <w:sz w:val="28"/>
          <w:szCs w:val="28"/>
        </w:rPr>
        <w:t>1. Утвердить Порядок проведения муниципального конкурсного отбора проектов инициативного бюджетирования на территории городского округа Зарайск  Московской области (</w:t>
      </w:r>
      <w:r>
        <w:rPr>
          <w:color w:val="000000"/>
          <w:sz w:val="28"/>
          <w:szCs w:val="28"/>
        </w:rPr>
        <w:t>п</w:t>
      </w:r>
      <w:r w:rsidR="009C528C" w:rsidRPr="009C528C">
        <w:rPr>
          <w:color w:val="000000"/>
          <w:sz w:val="28"/>
          <w:szCs w:val="28"/>
        </w:rPr>
        <w:t>рил</w:t>
      </w:r>
      <w:r>
        <w:rPr>
          <w:color w:val="000000"/>
          <w:sz w:val="28"/>
          <w:szCs w:val="28"/>
        </w:rPr>
        <w:t>агается</w:t>
      </w:r>
      <w:r w:rsidR="009C528C" w:rsidRPr="009C528C">
        <w:rPr>
          <w:color w:val="000000"/>
          <w:sz w:val="28"/>
          <w:szCs w:val="28"/>
        </w:rPr>
        <w:t>).</w:t>
      </w:r>
    </w:p>
    <w:p w:rsidR="009C528C" w:rsidRPr="009C528C" w:rsidRDefault="00E45E51" w:rsidP="00E45E5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</w:t>
      </w:r>
      <w:r w:rsidR="009C528C" w:rsidRPr="009C528C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Сектору по взаимодействию со СМИ</w:t>
      </w:r>
      <w:r w:rsidR="00BB3F0E" w:rsidRPr="00BB3F0E">
        <w:rPr>
          <w:color w:val="000000"/>
          <w:sz w:val="28"/>
          <w:szCs w:val="28"/>
        </w:rPr>
        <w:t xml:space="preserve"> </w:t>
      </w:r>
      <w:r w:rsidR="00BB3F0E" w:rsidRPr="009C528C">
        <w:rPr>
          <w:color w:val="000000"/>
          <w:sz w:val="28"/>
          <w:szCs w:val="28"/>
        </w:rPr>
        <w:t>администрации городского округа Зарайск</w:t>
      </w:r>
      <w:r>
        <w:rPr>
          <w:color w:val="000000"/>
          <w:sz w:val="28"/>
          <w:szCs w:val="28"/>
        </w:rPr>
        <w:t xml:space="preserve"> о</w:t>
      </w:r>
      <w:r w:rsidR="009C528C" w:rsidRPr="009C528C">
        <w:rPr>
          <w:color w:val="000000"/>
          <w:sz w:val="28"/>
          <w:szCs w:val="28"/>
        </w:rPr>
        <w:t xml:space="preserve">публиковать настоящее постановление в газете «За </w:t>
      </w:r>
      <w:r>
        <w:rPr>
          <w:color w:val="000000"/>
          <w:sz w:val="28"/>
          <w:szCs w:val="28"/>
        </w:rPr>
        <w:t>н</w:t>
      </w:r>
      <w:r w:rsidR="009C528C" w:rsidRPr="009C528C">
        <w:rPr>
          <w:color w:val="000000"/>
          <w:sz w:val="28"/>
          <w:szCs w:val="28"/>
        </w:rPr>
        <w:t>овую жизнь»  и разместить на официальном сайте администрации городского округа Зарайск</w:t>
      </w:r>
      <w:r>
        <w:rPr>
          <w:color w:val="000000"/>
          <w:sz w:val="28"/>
          <w:szCs w:val="28"/>
        </w:rPr>
        <w:t xml:space="preserve"> </w:t>
      </w:r>
      <w:r w:rsidR="009C528C" w:rsidRPr="009C528C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4301AB" w:rsidRDefault="00E45E51" w:rsidP="00E45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528C" w:rsidRPr="009C528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Настоящее п</w:t>
      </w:r>
      <w:r w:rsidR="009C528C" w:rsidRPr="009C528C">
        <w:rPr>
          <w:color w:val="000000"/>
          <w:sz w:val="28"/>
          <w:szCs w:val="28"/>
        </w:rPr>
        <w:t xml:space="preserve">остановление вступает в силу с </w:t>
      </w:r>
      <w:proofErr w:type="gramStart"/>
      <w:r w:rsidR="009C528C" w:rsidRPr="009C528C">
        <w:rPr>
          <w:color w:val="000000"/>
          <w:sz w:val="28"/>
          <w:szCs w:val="28"/>
        </w:rPr>
        <w:t>момент</w:t>
      </w:r>
      <w:proofErr w:type="gramEnd"/>
      <w:r w:rsidR="009C528C" w:rsidRPr="009C528C">
        <w:rPr>
          <w:color w:val="000000"/>
          <w:sz w:val="28"/>
          <w:szCs w:val="28"/>
        </w:rPr>
        <w:t xml:space="preserve"> а его официального опубликования.</w:t>
      </w:r>
    </w:p>
    <w:p w:rsidR="009C528C" w:rsidRPr="009C528C" w:rsidRDefault="00E45E51" w:rsidP="00E45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528C" w:rsidRPr="009C528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9C528C" w:rsidRPr="009C528C">
        <w:rPr>
          <w:color w:val="000000"/>
          <w:sz w:val="28"/>
          <w:szCs w:val="28"/>
        </w:rPr>
        <w:t xml:space="preserve">Контроль за исполнением настоящего </w:t>
      </w:r>
      <w:r>
        <w:rPr>
          <w:color w:val="000000"/>
          <w:sz w:val="28"/>
          <w:szCs w:val="28"/>
        </w:rPr>
        <w:t>п</w:t>
      </w:r>
      <w:r w:rsidR="009C528C" w:rsidRPr="009C528C">
        <w:rPr>
          <w:color w:val="000000"/>
          <w:sz w:val="28"/>
          <w:szCs w:val="28"/>
        </w:rPr>
        <w:t xml:space="preserve">остановления возложить на заместителя главы администрации городского округа Зарайск </w:t>
      </w:r>
      <w:r>
        <w:rPr>
          <w:color w:val="000000"/>
          <w:sz w:val="28"/>
          <w:szCs w:val="28"/>
        </w:rPr>
        <w:t xml:space="preserve">по социальным вопросам </w:t>
      </w:r>
      <w:r w:rsidR="009C528C" w:rsidRPr="009C528C">
        <w:rPr>
          <w:color w:val="000000"/>
          <w:sz w:val="28"/>
          <w:szCs w:val="28"/>
        </w:rPr>
        <w:t>Маркович В.В.</w:t>
      </w:r>
    </w:p>
    <w:p w:rsidR="004301AB" w:rsidRDefault="004301AB" w:rsidP="008153AB">
      <w:pPr>
        <w:jc w:val="both"/>
        <w:rPr>
          <w:sz w:val="28"/>
          <w:szCs w:val="28"/>
        </w:rPr>
      </w:pPr>
    </w:p>
    <w:p w:rsidR="004301AB" w:rsidRDefault="004301AB" w:rsidP="008153AB">
      <w:pPr>
        <w:jc w:val="both"/>
        <w:rPr>
          <w:sz w:val="28"/>
          <w:szCs w:val="28"/>
        </w:rPr>
      </w:pPr>
    </w:p>
    <w:p w:rsidR="00275AD0" w:rsidRPr="00830344" w:rsidRDefault="004301AB" w:rsidP="008153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</w:t>
      </w:r>
      <w:r w:rsidR="00B51A90">
        <w:rPr>
          <w:sz w:val="28"/>
          <w:szCs w:val="28"/>
        </w:rPr>
        <w:t xml:space="preserve"> </w:t>
      </w:r>
      <w:r w:rsidR="00EF0745">
        <w:rPr>
          <w:sz w:val="28"/>
          <w:szCs w:val="28"/>
        </w:rPr>
        <w:t xml:space="preserve">                                             </w:t>
      </w:r>
      <w:r w:rsidR="00B51A90">
        <w:rPr>
          <w:sz w:val="28"/>
          <w:szCs w:val="28"/>
        </w:rPr>
        <w:t xml:space="preserve"> </w:t>
      </w:r>
      <w:r w:rsidR="00275AD0" w:rsidRPr="00830344">
        <w:rPr>
          <w:sz w:val="28"/>
          <w:szCs w:val="28"/>
        </w:rPr>
        <w:t xml:space="preserve">В.А. Петрущенко    </w:t>
      </w:r>
    </w:p>
    <w:p w:rsidR="00B51A90" w:rsidRDefault="00B51A90" w:rsidP="00B51A90">
      <w:pPr>
        <w:pStyle w:val="31"/>
        <w:spacing w:after="0"/>
        <w:jc w:val="both"/>
      </w:pPr>
    </w:p>
    <w:p w:rsidR="009527E8" w:rsidRDefault="009527E8" w:rsidP="009527E8">
      <w:pPr>
        <w:pStyle w:val="31"/>
        <w:spacing w:after="0"/>
        <w:jc w:val="both"/>
        <w:rPr>
          <w:sz w:val="28"/>
          <w:szCs w:val="28"/>
        </w:rPr>
      </w:pPr>
    </w:p>
    <w:p w:rsidR="00600E61" w:rsidRDefault="00600E61" w:rsidP="009527E8">
      <w:pPr>
        <w:pStyle w:val="31"/>
        <w:spacing w:after="0"/>
        <w:jc w:val="both"/>
        <w:rPr>
          <w:sz w:val="28"/>
          <w:szCs w:val="28"/>
        </w:rPr>
      </w:pPr>
    </w:p>
    <w:p w:rsidR="00600E61" w:rsidRDefault="00600E61" w:rsidP="009527E8">
      <w:pPr>
        <w:pStyle w:val="31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520DD0" w:rsidRDefault="00B51A90" w:rsidP="009527E8">
      <w:pPr>
        <w:jc w:val="both"/>
        <w:rPr>
          <w:b/>
          <w:color w:val="000000"/>
        </w:rPr>
      </w:pPr>
      <w:r>
        <w:rPr>
          <w:sz w:val="16"/>
          <w:szCs w:val="16"/>
        </w:rPr>
        <w:t xml:space="preserve">                            </w:t>
      </w:r>
      <w:r w:rsidR="006069D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="004301A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6650C2" w:rsidRPr="006069DA">
        <w:rPr>
          <w:sz w:val="22"/>
          <w:szCs w:val="22"/>
        </w:rPr>
        <w:t xml:space="preserve">  </w:t>
      </w:r>
      <w:r w:rsidR="009527E8">
        <w:rPr>
          <w:sz w:val="22"/>
          <w:szCs w:val="22"/>
        </w:rPr>
        <w:t xml:space="preserve">   </w:t>
      </w:r>
    </w:p>
    <w:p w:rsidR="00520DD0" w:rsidRDefault="00520DD0" w:rsidP="00520DD0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ПОРЯДОК</w:t>
      </w:r>
    </w:p>
    <w:p w:rsidR="00520DD0" w:rsidRPr="00520DD0" w:rsidRDefault="00520DD0" w:rsidP="00520DD0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DD0">
        <w:rPr>
          <w:rFonts w:ascii="Times New Roman" w:hAnsi="Times New Roman" w:cs="Times New Roman"/>
          <w:b/>
          <w:color w:val="000000"/>
          <w:sz w:val="24"/>
          <w:szCs w:val="24"/>
        </w:rPr>
        <w:t>проведения муниципального конкурсного отбора проектов инициативного бюджетирования на территории городского округа Зарайск   Московской области</w:t>
      </w:r>
    </w:p>
    <w:p w:rsidR="00520DD0" w:rsidRPr="00520DD0" w:rsidRDefault="00520DD0" w:rsidP="00520DD0">
      <w:pPr>
        <w:pStyle w:val="ConsPlusNormal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D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(далее - Порядок)</w:t>
      </w:r>
    </w:p>
    <w:p w:rsidR="00520DD0" w:rsidRDefault="00520DD0" w:rsidP="00520DD0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DD0" w:rsidRDefault="00520DD0" w:rsidP="00520DD0">
      <w:pPr>
        <w:pStyle w:val="ConsPlusNormal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P30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520DD0" w:rsidRDefault="00520DD0" w:rsidP="00520DD0">
      <w:pPr>
        <w:pStyle w:val="ConsPlusNormal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 Настоящий Порядок устанавливает механизм организации                                          и проведения муниципального конкурсного отбора проектов инициативного бюджетирования на территории городского округа Зарайск  Московской области для участия в региональном конкурсном отборе проектов инициативного бюджетирования в Московской области.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Термины и их определения, используемые в настоящем Порядке, применяются в значениях, определенных Законом Московской области от 19.10.2018г.  № 170/2018-ОЗ «О развитии инициативного бюджетирования в Московской области».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Организатором муниципального конкурсного отбора проектов инициативного бюджетирования на территории городского округа Зарайск Московской области для участия в региональном конкурсном отборе проектов инициативного бюджетирования в Московской области является Администрация городского округа Зарайск Московской области.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1.4.Материально-техническое, информационно-аналитическое и организационно-техническое обеспечение муниципального конкурсного отбора проектов инициативного бюджетирования на территории городского округа Зарайск  Московской области осуществляется Администрацией    городского округа Зарайск  Московской области.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Проектом инициативного бюджетирования является документально оформленная инициатива участников инициативного бюджетирования, направленная на решение вопросов местного значения городского округа Зарайск, определенных Федеральным законом от 06.10.2003 № 131-ФЗ «Об общих принципах организации местного самоуправления в Российской Федерации», реализуемая на условиях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счет средств бюджета Московской области, бюджета городского округа Зарайск Московской области, а также внебюджетных источников (средств физических и </w:t>
      </w:r>
      <w:r>
        <w:rPr>
          <w:rFonts w:ascii="Times New Roman" w:hAnsi="Times New Roman" w:cs="Times New Roman"/>
          <w:sz w:val="24"/>
          <w:szCs w:val="24"/>
        </w:rPr>
        <w:t>юридических лиц).</w:t>
      </w:r>
    </w:p>
    <w:p w:rsidR="00520DD0" w:rsidRDefault="00520DD0" w:rsidP="00520DD0">
      <w:pPr>
        <w:pStyle w:val="af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Бюджетные ассигнования на реализацию проектов инициативного бюджетирования предусматриваются в соответствующей муниципальной программе городского округа Зарайск Московской области.</w:t>
      </w:r>
    </w:p>
    <w:p w:rsidR="00520DD0" w:rsidRDefault="00520DD0" w:rsidP="00520DD0">
      <w:pPr>
        <w:pStyle w:val="ConsPlusNormal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DD0" w:rsidRDefault="00520DD0" w:rsidP="00520DD0">
      <w:pPr>
        <w:pStyle w:val="ConsPlusNormal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участия инициаторов проектов инициативного </w:t>
      </w:r>
    </w:p>
    <w:p w:rsidR="00520DD0" w:rsidRDefault="00520DD0" w:rsidP="00520DD0">
      <w:pPr>
        <w:pStyle w:val="ConsPlusNormal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бюджетирования 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проектов инициативного бюджетирования, реализации проектов и приемке результатов работ.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Объем средств физических и (или) юридических лиц, вносимый в целях финансирования реализации проекта инициативного бюджетирования (далее </w:t>
      </w:r>
      <w:r>
        <w:rPr>
          <w:rFonts w:ascii="Times New Roman" w:hAnsi="Times New Roman"/>
          <w:color w:val="000000"/>
          <w:sz w:val="24"/>
          <w:szCs w:val="24"/>
        </w:rPr>
        <w:t>– средства инициаторов)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должен составлять   не менее 1 процента от стоимости данного проекта. 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2.2.Объем средств на реализацию проекта инициативного бюджетирования в случае, если его инициатором является депутат Московской областной Думы, формируется за счет привлеченных депутатом средств инициаторов.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Средства инициаторов вносятся на счет во временное распоряжение, открытый Администрацией городского округа Зарайск, не ранее момента объявления о проведении муниципального конкурсного отбора и не позднее 10 дней со дня опубликования итогов регионального конкурсного отбора при условии признания проекта инициативного бюджетирования победителем. 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Реализация проекта инициативного бюджетирования осуществляется без фактического использования средств инициаторов данного проекта.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бюджете городского округа Зарайск (сводной бюджетной росписи местного бюджета) должны быть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предусмотрены  бюджетные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ассигнования на исполнение расходных обязательств  городского округа Зарайск, связанных  с реализацией новых проектов инициативного бюджетирования, с учетом ассигнований, за счет безвозмездных поступлений от физических и (или) юридических лиц в размере не  менее одного процента от стоимости проекта. 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инициаторов находятся во временном распоряжении до окончания реализации проекта инициативного бюджетирования.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2.5.Средства инициаторов поступают в доход бюджета городского округа Зарайск Московской области при условии реализации проекта инициативного бюджетирования.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В случае непризнания проектов инициативного бюджетирования победителями муниципального или регионального конкурсных отборов, а также в случае не реализации данных проектов средства инициаторов возвращаются со счета во временное распоряжение внесшим их лицам.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Приемка результатов работ по реализованному проекту инициативного бюджетирования оформляется актом, подписываемым в том числе инициатором проекта инициативного бюджетирования.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Инициатор проекта инициативного бюджетирования согласовывает техническое задание на заключение контракта.</w:t>
      </w:r>
    </w:p>
    <w:p w:rsidR="00520DD0" w:rsidRDefault="00520DD0" w:rsidP="00520DD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20DD0" w:rsidRDefault="00520DD0" w:rsidP="00520DD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II. Организация проведения муниципального конкурсного отбора</w:t>
      </w:r>
    </w:p>
    <w:p w:rsidR="00520DD0" w:rsidRDefault="00520DD0" w:rsidP="00520DD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проектов инициативного бюджетирования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Муниципальный конкурсный отбор проектов инициативного бюджетирования на территории городского округа Зарайск Московской области включает в себя следующие этапы: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3.1.1. этап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 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проектов на Интернет-портале в информационно-коммуникационной сети Интернет по адресу: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dobrodel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mosreg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Интернет-портал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»); </w:t>
      </w:r>
    </w:p>
    <w:p w:rsidR="00520DD0" w:rsidRDefault="00520DD0" w:rsidP="00520DD0">
      <w:pPr>
        <w:pStyle w:val="ConsPlusNormal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3.1.2.  этап 2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 голосования на сайте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  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3.1.3 этап 3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отбор проектов инициативного бюджетирования конкурсной комиссией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Зарайск Московской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3.1.4 этап 4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и направление проекта для участия в </w:t>
      </w:r>
      <w:r>
        <w:rPr>
          <w:rFonts w:ascii="Times New Roman" w:hAnsi="Times New Roman"/>
          <w:color w:val="000000"/>
          <w:sz w:val="24"/>
          <w:szCs w:val="24"/>
        </w:rPr>
        <w:t>региональном конкурсном отборе проектов инициативного бюджетирования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DD0" w:rsidRDefault="00520DD0" w:rsidP="00520DD0">
      <w:pPr>
        <w:pStyle w:val="ConsPlusNormal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Размещение проектов на сайте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 этапу 1 относится размещение проекта инициативного бюджетирования на сайте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сроках проведения муниципального и регионального конкурсного отбора, голосования по проектам инициативного бюджетирования на сайте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установленных Главным управлением территориальной политики Московской области, размещается в сетевом издании «Официальный сайт органов местного самоуправления  городского округа Зарайск» в Информационно-телекоммуникационной сети Интернет.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В установленные сроки инициатор проекта инициативного бюджетирования размещает свой проект  на сайте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заполнив форму, содержащуюся на портале.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DD0" w:rsidRDefault="00520DD0" w:rsidP="00520DD0">
      <w:pPr>
        <w:pStyle w:val="ConsPlusNormal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Проведение голосования.</w:t>
      </w:r>
    </w:p>
    <w:p w:rsidR="00520DD0" w:rsidRDefault="00520DD0" w:rsidP="00520DD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Этап 2 муниципального конкурсного отбора проектов инициативного бюджетирования осуществляется в форме голосования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 Голосование проводится онлайн с использованием электронных сервисов в соответствии со сроками, установленными Главным управлением территориальной политики Московской области.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В голосовании принимают участие жители городского округа  Зарайск  Московской области, зарегистрированные на сайте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Житель городского округа Зарайск  Московской области имеет право проголосовать за неограниченное число проектов инициативного бюджетирования, при этом за один проект должен отдаваться один голос. 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Результаты голосования по проектам инициативного бюджетирования на сайте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учитываются конкурсной комиссией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Зарайск </w:t>
      </w:r>
      <w:r>
        <w:rPr>
          <w:rFonts w:ascii="Times New Roman" w:hAnsi="Times New Roman"/>
          <w:color w:val="000000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 принятии итогового решения.</w:t>
      </w:r>
    </w:p>
    <w:p w:rsidR="00520DD0" w:rsidRDefault="00520DD0" w:rsidP="00520DD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DD0" w:rsidRDefault="00520DD0" w:rsidP="00520DD0">
      <w:pPr>
        <w:pStyle w:val="affa"/>
        <w:ind w:left="36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</w:t>
      </w:r>
      <w:r>
        <w:rPr>
          <w:b/>
          <w:color w:val="000000"/>
          <w:sz w:val="24"/>
          <w:szCs w:val="24"/>
          <w:lang w:val="en-US"/>
        </w:rPr>
        <w:t>VI</w:t>
      </w:r>
      <w:r>
        <w:rPr>
          <w:b/>
          <w:color w:val="000000"/>
          <w:sz w:val="24"/>
          <w:szCs w:val="24"/>
        </w:rPr>
        <w:t xml:space="preserve">. Формирование конкурсной комиссии. </w:t>
      </w:r>
    </w:p>
    <w:p w:rsidR="00520DD0" w:rsidRDefault="00520DD0" w:rsidP="00520DD0">
      <w:pPr>
        <w:pStyle w:val="affa"/>
        <w:ind w:left="36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Порядок отбора проектов инициативного бюджетирования</w:t>
      </w:r>
    </w:p>
    <w:p w:rsidR="00520DD0" w:rsidRDefault="00520DD0" w:rsidP="00520DD0">
      <w:pPr>
        <w:pStyle w:val="affa"/>
        <w:ind w:left="360" w:firstLine="709"/>
        <w:jc w:val="center"/>
        <w:rPr>
          <w:b/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После завершения голосования на сайте «</w:t>
      </w:r>
      <w:proofErr w:type="spellStart"/>
      <w:r>
        <w:rPr>
          <w:color w:val="000000"/>
          <w:sz w:val="24"/>
          <w:szCs w:val="24"/>
        </w:rPr>
        <w:t>Добродел</w:t>
      </w:r>
      <w:proofErr w:type="spellEnd"/>
      <w:r>
        <w:rPr>
          <w:color w:val="000000"/>
          <w:sz w:val="24"/>
          <w:szCs w:val="24"/>
        </w:rPr>
        <w:t xml:space="preserve">» в установленные сроки результаты голосования, а также заключение Администрации городского округа Зарайск  о возможности </w:t>
      </w:r>
      <w:proofErr w:type="spellStart"/>
      <w:r>
        <w:rPr>
          <w:color w:val="000000"/>
          <w:sz w:val="24"/>
          <w:szCs w:val="24"/>
        </w:rPr>
        <w:t>софинансирования</w:t>
      </w:r>
      <w:proofErr w:type="spellEnd"/>
      <w:r>
        <w:rPr>
          <w:color w:val="000000"/>
          <w:sz w:val="24"/>
          <w:szCs w:val="24"/>
        </w:rPr>
        <w:t xml:space="preserve"> проекта инициативного бюджетирования, передаются   в конкурсную комиссию городского округа Зарайск  Московской области. 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6.2. Персональный состав </w:t>
      </w:r>
      <w:r>
        <w:rPr>
          <w:color w:val="000000"/>
          <w:sz w:val="24"/>
          <w:szCs w:val="24"/>
        </w:rPr>
        <w:t>конкурсной комиссии городского округа Зарайск   Московской области</w:t>
      </w:r>
      <w:r>
        <w:rPr>
          <w:color w:val="000000"/>
          <w:sz w:val="24"/>
          <w:szCs w:val="24"/>
          <w:lang w:eastAsia="ru-RU"/>
        </w:rPr>
        <w:t xml:space="preserve"> утверждается главой городского округа </w:t>
      </w:r>
      <w:r>
        <w:rPr>
          <w:color w:val="000000"/>
          <w:sz w:val="24"/>
          <w:szCs w:val="24"/>
        </w:rPr>
        <w:t xml:space="preserve">Зарайск  </w:t>
      </w:r>
      <w:r>
        <w:rPr>
          <w:color w:val="000000"/>
          <w:sz w:val="24"/>
          <w:szCs w:val="24"/>
          <w:lang w:eastAsia="ru-RU"/>
        </w:rPr>
        <w:t>Московской области.</w:t>
      </w:r>
    </w:p>
    <w:p w:rsidR="00520DD0" w:rsidRDefault="00520DD0" w:rsidP="00520DD0">
      <w:pPr>
        <w:pStyle w:val="affa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6.3. В состав </w:t>
      </w:r>
      <w:r>
        <w:rPr>
          <w:color w:val="000000"/>
          <w:sz w:val="24"/>
          <w:szCs w:val="24"/>
        </w:rPr>
        <w:t>конкурсной комиссии городского округа Зарайск   Московской области</w:t>
      </w:r>
      <w:r>
        <w:rPr>
          <w:color w:val="000000"/>
          <w:sz w:val="24"/>
          <w:szCs w:val="24"/>
          <w:lang w:eastAsia="ru-RU"/>
        </w:rPr>
        <w:t xml:space="preserve"> могут быть включены представители общественных организаций по согласованию.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 Состав конкурсной комиссии формируется таким образом, чтобы была исключена возможность возникновения конфликтов интересов, которые могут повлиять на принимаемые конкурсной комиссией решения.</w:t>
      </w:r>
    </w:p>
    <w:p w:rsidR="00520DD0" w:rsidRDefault="00520DD0" w:rsidP="00520DD0">
      <w:pPr>
        <w:pStyle w:val="afffd"/>
        <w:ind w:left="-567" w:firstLine="709"/>
        <w:jc w:val="both"/>
      </w:pPr>
      <w:r>
        <w:tab/>
        <w:t>6.6. Основными задачами конкурсной комиссии являются:</w:t>
      </w:r>
    </w:p>
    <w:p w:rsidR="00520DD0" w:rsidRDefault="00520DD0" w:rsidP="00520DD0">
      <w:pPr>
        <w:pStyle w:val="afffd"/>
        <w:ind w:firstLine="709"/>
        <w:jc w:val="both"/>
      </w:pPr>
      <w:r>
        <w:t>1) объективная оценка социально-экономической значимости проектов инициативного бюджетирования;</w:t>
      </w:r>
    </w:p>
    <w:p w:rsidR="00520DD0" w:rsidRDefault="00520DD0" w:rsidP="00520DD0">
      <w:pPr>
        <w:pStyle w:val="afffd"/>
        <w:ind w:firstLine="709"/>
        <w:jc w:val="both"/>
      </w:pPr>
      <w:r>
        <w:t>2) конкурсный отбор проектов инициативного бюджетирования;</w:t>
      </w:r>
    </w:p>
    <w:p w:rsidR="00520DD0" w:rsidRDefault="00520DD0" w:rsidP="00520DD0">
      <w:pPr>
        <w:pStyle w:val="afffd"/>
        <w:ind w:firstLine="709"/>
        <w:jc w:val="both"/>
      </w:pPr>
      <w:r>
        <w:t>3) принятие решения по итогам конкурсного отбора проектов инициативного бюджетирования.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6.7.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6.8.  Председатель конкурсной комиссии: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формирует проект повестки очередного заседания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председательствует на заседаниях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5) осуществляет полномочия члена конкурсной комиссии, установленные пунктом 6.11. настоящего Порядка.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6.9. Заместитель председателя конкурсной комиссии исполняет обязанности председателя конкурсной комиссии в случае его временного отсутствия, осуществляет полномочия члена конкурсной комиссии, установленные пунктом 6.11.  настоящего Порядка.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6.10. Секретарь конкурсной комиссии: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ведет протоколы заседаний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осуществляет полномочия члена конкурсной комиссии, установленные пунктом 6.11.настоящего Порядка.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6.11.  Член конкурсной комиссии: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вносит предложения по вопросам работы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знакомится с документами и материалами, рассматриваемыми на заседаниях конкурсной комиссии;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голосует на заседаниях конкурсной комиссии.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6.12. Решение конкурсной комиссии принимается открытым голосованием простым большинством голосов от числа присутствующих на 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конкурсной комиссии обладают равными правами при обсуждении вопросов о принятии решений.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6.13. Заседание конкурсной комиссии проводится после окончания сроков проведения голосования на сайте «</w:t>
      </w:r>
      <w:proofErr w:type="spellStart"/>
      <w:r>
        <w:rPr>
          <w:color w:val="000000"/>
          <w:sz w:val="24"/>
          <w:szCs w:val="24"/>
        </w:rPr>
        <w:t>Добродел</w:t>
      </w:r>
      <w:proofErr w:type="spellEnd"/>
      <w:r>
        <w:rPr>
          <w:color w:val="000000"/>
          <w:sz w:val="24"/>
          <w:szCs w:val="24"/>
        </w:rPr>
        <w:t>». По результатам заседания конкурсной комиссии составляется протокол заседания конкурсной комиссии, который подписывается Председателем на заседании конкурсной комиссии, заместителем председателя конкурсной комиссии, секретарем конкурсной комиссии и членами конкурсной комиссии, участвовавшими в ее заседании, в течение трех рабочих дней со дня проведения заседания конкурсной комиссии.</w:t>
      </w:r>
    </w:p>
    <w:p w:rsidR="00520DD0" w:rsidRDefault="00520DD0" w:rsidP="00520DD0">
      <w:pPr>
        <w:shd w:val="clear" w:color="auto" w:fill="FFFFFF"/>
        <w:spacing w:line="288" w:lineRule="atLeast"/>
        <w:ind w:firstLine="851"/>
        <w:jc w:val="both"/>
        <w:rPr>
          <w:color w:val="000000"/>
        </w:rPr>
      </w:pPr>
      <w:r>
        <w:rPr>
          <w:color w:val="000000"/>
        </w:rPr>
        <w:t>На рассмотрении конкурсной комиссии городского округа Зарайск   Московской области может находиться неограниченное количество проектов инициативного бюджетирования.</w:t>
      </w:r>
    </w:p>
    <w:p w:rsidR="00520DD0" w:rsidRDefault="00520DD0" w:rsidP="00520DD0">
      <w:pPr>
        <w:shd w:val="clear" w:color="auto" w:fill="FFFFFF"/>
        <w:spacing w:line="288" w:lineRule="atLeast"/>
        <w:ind w:firstLine="851"/>
        <w:jc w:val="both"/>
        <w:rPr>
          <w:color w:val="000000"/>
        </w:rPr>
      </w:pPr>
    </w:p>
    <w:p w:rsidR="00520DD0" w:rsidRDefault="00520DD0" w:rsidP="00520DD0">
      <w:pPr>
        <w:shd w:val="clear" w:color="auto" w:fill="FFFFFF"/>
        <w:spacing w:line="288" w:lineRule="atLeast"/>
        <w:ind w:firstLine="851"/>
        <w:jc w:val="both"/>
        <w:rPr>
          <w:color w:val="000000"/>
        </w:rPr>
      </w:pPr>
    </w:p>
    <w:p w:rsidR="00520DD0" w:rsidRDefault="00520DD0" w:rsidP="00520DD0">
      <w:pPr>
        <w:shd w:val="clear" w:color="auto" w:fill="FFFFFF"/>
        <w:spacing w:line="288" w:lineRule="atLeast"/>
        <w:ind w:firstLine="851"/>
        <w:jc w:val="both"/>
        <w:rPr>
          <w:color w:val="000000"/>
        </w:rPr>
      </w:pPr>
    </w:p>
    <w:p w:rsidR="00520DD0" w:rsidRDefault="00520DD0" w:rsidP="00520DD0">
      <w:pPr>
        <w:pStyle w:val="afffd"/>
        <w:ind w:firstLine="709"/>
        <w:jc w:val="both"/>
      </w:pPr>
      <w:r>
        <w:t xml:space="preserve">6.14. По результатам рассмотрения проектов инициативного бюджетирования конкурсная комиссия принимает следующие решения: </w:t>
      </w:r>
    </w:p>
    <w:p w:rsidR="00520DD0" w:rsidRDefault="00520DD0" w:rsidP="00520DD0">
      <w:pPr>
        <w:pStyle w:val="afffd"/>
        <w:ind w:firstLine="709"/>
        <w:jc w:val="both"/>
      </w:pPr>
      <w:r>
        <w:t>1) о проектах инициативного бюджетирования, прошедших конкурсный отбор;</w:t>
      </w:r>
    </w:p>
    <w:p w:rsidR="00520DD0" w:rsidRDefault="00520DD0" w:rsidP="00520DD0">
      <w:pPr>
        <w:pStyle w:val="afffd"/>
        <w:ind w:firstLine="709"/>
        <w:jc w:val="both"/>
      </w:pPr>
      <w:r>
        <w:t>2) о проектах инициативного бюджетирования, не прошедших конкурсный отбор.</w:t>
      </w:r>
    </w:p>
    <w:p w:rsidR="00520DD0" w:rsidRDefault="00520DD0" w:rsidP="00520DD0">
      <w:pPr>
        <w:pStyle w:val="afffd"/>
        <w:ind w:firstLine="709"/>
        <w:jc w:val="both"/>
      </w:pPr>
      <w:r>
        <w:t>6.15.Условиями прохождения проектов муниципального конкурсного отбора являются:</w:t>
      </w:r>
    </w:p>
    <w:p w:rsidR="00520DD0" w:rsidRDefault="00520DD0" w:rsidP="00520DD0">
      <w:pPr>
        <w:pStyle w:val="afffd"/>
        <w:ind w:firstLine="709"/>
        <w:jc w:val="both"/>
      </w:pPr>
      <w:r>
        <w:t>1) соответствие проекта инициативного бюджетирования требованиям законодательства Российской Федерации;</w:t>
      </w:r>
    </w:p>
    <w:p w:rsidR="00520DD0" w:rsidRDefault="00520DD0" w:rsidP="00520DD0">
      <w:pPr>
        <w:pStyle w:val="afffd"/>
        <w:ind w:firstLine="709"/>
        <w:jc w:val="both"/>
      </w:pPr>
      <w:r>
        <w:lastRenderedPageBreak/>
        <w:t>2) проект инициативного бюджетирования на портале «</w:t>
      </w:r>
      <w:proofErr w:type="spellStart"/>
      <w:r>
        <w:t>Добродел</w:t>
      </w:r>
      <w:proofErr w:type="spellEnd"/>
      <w:r>
        <w:t>»   при голосовании набрал более 100  голосов;</w:t>
      </w:r>
    </w:p>
    <w:p w:rsidR="00520DD0" w:rsidRDefault="00520DD0" w:rsidP="00520DD0">
      <w:pPr>
        <w:pStyle w:val="afffd"/>
        <w:ind w:firstLine="709"/>
        <w:jc w:val="both"/>
      </w:pPr>
      <w:r>
        <w:t xml:space="preserve">3) наличие средств местного бюджета в объеме средств, необходимом для реализации проекта  инициативного бюджетирования, источником формирования которых не являются средства жителей.    </w:t>
      </w:r>
    </w:p>
    <w:p w:rsidR="00520DD0" w:rsidRDefault="00520DD0" w:rsidP="00520DD0">
      <w:pPr>
        <w:pStyle w:val="afffd"/>
        <w:ind w:firstLine="709"/>
        <w:jc w:val="both"/>
      </w:pPr>
      <w:r>
        <w:t>6.16. Информация о результатах отбора проектов инициативного бюджетирования размещается на официальном сайте Администрации городского округа Зарайск  Московской области.</w:t>
      </w:r>
    </w:p>
    <w:p w:rsidR="00520DD0" w:rsidRDefault="00520DD0" w:rsidP="00520DD0">
      <w:pPr>
        <w:pStyle w:val="affa"/>
        <w:ind w:left="360" w:firstLine="709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left="360" w:firstLine="709"/>
        <w:jc w:val="center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left="36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VII</w:t>
      </w:r>
      <w:r>
        <w:rPr>
          <w:b/>
          <w:color w:val="000000"/>
          <w:sz w:val="24"/>
          <w:szCs w:val="24"/>
        </w:rPr>
        <w:t xml:space="preserve">. Подготовка и подача заявок на участие </w:t>
      </w:r>
    </w:p>
    <w:p w:rsidR="00520DD0" w:rsidRDefault="00520DD0" w:rsidP="00520DD0">
      <w:pPr>
        <w:pStyle w:val="affa"/>
        <w:ind w:left="36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региональном конкурсном отборе проектов инициативного бюджетирования. </w:t>
      </w:r>
    </w:p>
    <w:p w:rsidR="00520DD0" w:rsidRDefault="00520DD0" w:rsidP="00520DD0">
      <w:pPr>
        <w:pStyle w:val="affa"/>
        <w:ind w:left="360"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После отбора проектов инициативного бюджетирования конкурсной комиссией городского округа  Зарайск  Московской области инициатор проекта инициативного бюджетирования, чей проект признан прошедшим муниципальный конкурсный отбор, совместно  с Администрацией городского округа Зарайск  </w:t>
      </w:r>
      <w:r>
        <w:rPr>
          <w:color w:val="000000"/>
          <w:sz w:val="24"/>
          <w:szCs w:val="24"/>
          <w:lang w:eastAsia="ru-RU"/>
        </w:rPr>
        <w:t>Московской области</w:t>
      </w:r>
      <w:r>
        <w:rPr>
          <w:color w:val="000000"/>
          <w:sz w:val="24"/>
          <w:szCs w:val="24"/>
        </w:rPr>
        <w:t xml:space="preserve"> оформляют заявку согласно Приложению 2, утвержденного постановлением Правительства Московской области от 17.12.2019 № 992/44, которая направляется в Главное управление территориальной политики Московской области. 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widowControl w:val="0"/>
        <w:autoSpaceDE w:val="0"/>
        <w:autoSpaceDN w:val="0"/>
        <w:adjustRightInd w:val="0"/>
        <w:spacing w:line="276" w:lineRule="auto"/>
        <w:ind w:firstLine="5103"/>
        <w:jc w:val="right"/>
      </w:pPr>
      <w:r>
        <w:t xml:space="preserve">                             Приложение 2</w:t>
      </w:r>
    </w:p>
    <w:p w:rsidR="009255B3" w:rsidRDefault="00520DD0" w:rsidP="00520DD0">
      <w:pPr>
        <w:pStyle w:val="a3"/>
        <w:suppressAutoHyphens/>
        <w:ind w:left="5245"/>
        <w:jc w:val="right"/>
      </w:pPr>
      <w:r>
        <w:t>к постановлению  главы</w:t>
      </w:r>
    </w:p>
    <w:p w:rsidR="00520DD0" w:rsidRDefault="00520DD0" w:rsidP="00520DD0">
      <w:pPr>
        <w:pStyle w:val="a3"/>
        <w:suppressAutoHyphens/>
        <w:ind w:left="5245"/>
        <w:jc w:val="right"/>
      </w:pPr>
      <w:r>
        <w:t xml:space="preserve"> городского округа Зарайск</w:t>
      </w:r>
    </w:p>
    <w:p w:rsidR="00520DD0" w:rsidRDefault="00520DD0" w:rsidP="00520DD0">
      <w:pPr>
        <w:pStyle w:val="a3"/>
        <w:suppressAutoHyphens/>
        <w:ind w:left="5245"/>
        <w:jc w:val="right"/>
      </w:pPr>
      <w:r>
        <w:t>Московской области</w:t>
      </w:r>
    </w:p>
    <w:p w:rsidR="00520DD0" w:rsidRDefault="00520DD0" w:rsidP="00520DD0">
      <w:pPr>
        <w:pStyle w:val="a3"/>
        <w:suppressAutoHyphens/>
        <w:ind w:left="5245"/>
        <w:jc w:val="right"/>
      </w:pPr>
      <w:r>
        <w:t xml:space="preserve">от </w:t>
      </w:r>
      <w:r w:rsidR="009255B3">
        <w:t xml:space="preserve"> 09.12.</w:t>
      </w:r>
      <w:r>
        <w:t xml:space="preserve"> 2020 </w:t>
      </w:r>
      <w:r w:rsidR="009255B3">
        <w:t xml:space="preserve"> 1650/12</w:t>
      </w:r>
    </w:p>
    <w:p w:rsidR="00520DD0" w:rsidRDefault="00520DD0" w:rsidP="00520DD0">
      <w:pPr>
        <w:jc w:val="center"/>
        <w:rPr>
          <w:rFonts w:ascii="TimesNewRomanPS" w:eastAsia="Calibri" w:hAnsi="TimesNewRomanPS"/>
          <w:b/>
          <w:bCs/>
        </w:rPr>
      </w:pPr>
    </w:p>
    <w:p w:rsidR="00520DD0" w:rsidRDefault="00520DD0" w:rsidP="00520DD0">
      <w:pPr>
        <w:jc w:val="center"/>
        <w:rPr>
          <w:rFonts w:ascii="TimesNewRomanPS" w:hAnsi="TimesNewRomanPS"/>
          <w:b/>
          <w:bCs/>
        </w:rPr>
      </w:pPr>
    </w:p>
    <w:p w:rsidR="00520DD0" w:rsidRDefault="00520DD0" w:rsidP="00520DD0">
      <w:pPr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ПРОЕКТ</w:t>
      </w:r>
    </w:p>
    <w:p w:rsidR="00520DD0" w:rsidRDefault="00520DD0" w:rsidP="00520DD0">
      <w:pPr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инициативного бюджетирования </w:t>
      </w:r>
    </w:p>
    <w:p w:rsidR="00520DD0" w:rsidRDefault="00520DD0" w:rsidP="00520DD0">
      <w:pPr>
        <w:jc w:val="center"/>
        <w:rPr>
          <w:rFonts w:ascii="TimesNewRomanPS" w:hAnsi="TimesNewRomanPS"/>
          <w:b/>
          <w:bCs/>
        </w:rPr>
      </w:pP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1. Наименование проекта инициативного бюджетирования, который был выбран для участия в региональном конкурсном отборе (далее - проект):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" w:hAnsi="TimesNewRomanPS"/>
                <w:b/>
                <w:bCs/>
              </w:rPr>
            </w:pPr>
          </w:p>
        </w:tc>
      </w:tr>
    </w:tbl>
    <w:p w:rsidR="00520DD0" w:rsidRDefault="00520DD0" w:rsidP="00520DD0">
      <w:pPr>
        <w:shd w:val="clear" w:color="auto" w:fill="FFFFFF"/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>2. Адрес реализации проекта:</w:t>
      </w:r>
    </w:p>
    <w:p w:rsidR="00520DD0" w:rsidRDefault="00520DD0" w:rsidP="00520DD0">
      <w:pPr>
        <w:shd w:val="clear" w:color="auto" w:fill="FFFFFF"/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2.1. Городской округ Московской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" w:hAnsi="TimesNewRomanPS"/>
                <w:b/>
                <w:bCs/>
              </w:rPr>
            </w:pPr>
          </w:p>
        </w:tc>
      </w:tr>
    </w:tbl>
    <w:p w:rsidR="00520DD0" w:rsidRDefault="00520DD0" w:rsidP="00520DD0">
      <w:pPr>
        <w:shd w:val="clear" w:color="auto" w:fill="FFFFFF"/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>2.2. Населенный пункт, улица, дом: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" w:hAnsi="TimesNewRomanPS"/>
                <w:b/>
                <w:bCs/>
              </w:rPr>
            </w:pPr>
          </w:p>
        </w:tc>
      </w:tr>
    </w:tbl>
    <w:p w:rsidR="00520DD0" w:rsidRDefault="00520DD0" w:rsidP="00520DD0">
      <w:pPr>
        <w:shd w:val="clear" w:color="auto" w:fill="FFFFFF"/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i/>
          <w:iCs/>
        </w:rPr>
        <w:t xml:space="preserve">* </w:t>
      </w:r>
      <w:proofErr w:type="gramStart"/>
      <w:r>
        <w:rPr>
          <w:rFonts w:ascii="TimesNewRomanPS" w:hAnsi="TimesNewRomanPS"/>
          <w:i/>
          <w:iCs/>
        </w:rPr>
        <w:t>В</w:t>
      </w:r>
      <w:proofErr w:type="gramEnd"/>
      <w:r>
        <w:rPr>
          <w:rFonts w:ascii="TimesNewRomanPS" w:hAnsi="TimesNewRomanPS"/>
          <w:i/>
          <w:iCs/>
        </w:rPr>
        <w:t xml:space="preserve"> случае, если проект реализуется в нескольких населенных пунктах муниципального образования, то указываются названия всех населенных пунктов муниципального образования.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2.3. Численность населения городского округа Московской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Cs/>
        </w:rPr>
      </w:pPr>
      <w:r>
        <w:rPr>
          <w:rFonts w:ascii="TimesNewRomanPS" w:hAnsi="TimesNewRomanPS"/>
          <w:b/>
          <w:bCs/>
        </w:rPr>
        <w:t>2.4. Численность населения населенного пункта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3. Тип объекта общественной инфраструктуры, на развитие которого направлен проект: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i/>
          <w:iCs/>
        </w:rPr>
        <w:t xml:space="preserve">(тип объекта общественной инфраструктуры на развитие которого направлен проект: (1) объекты благоустройства; (2) объекты культуры; (3) объекты библиотечного обслуживания; (4) объекты, используемые для проведения общественных и культурно-массовых мероприятий; (5) объекты ЖКХ; (6) объекты водоснабжения; (7) автомобильные дороги и сооружения на них; (8) детские площадки; (9) места захоронения; (10) объекты для обеспечения первичных мер пожарной безопасности; (11) объекты туризма; (12) объекты физической культуры и спорта; (13) объекты бытового обслуживания; (14) места массового отдыха населения; (15) другое) </w:t>
      </w:r>
    </w:p>
    <w:p w:rsidR="00520DD0" w:rsidRDefault="00520DD0" w:rsidP="00520DD0">
      <w:pPr>
        <w:jc w:val="both"/>
        <w:rPr>
          <w:rFonts w:ascii="TimesNewRomanPS" w:hAnsi="TimesNewRomanPS"/>
          <w:b/>
          <w:bCs/>
        </w:rPr>
      </w:pPr>
    </w:p>
    <w:p w:rsidR="00520DD0" w:rsidRDefault="00520DD0" w:rsidP="00520DD0">
      <w:pPr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4. Наименование вопроса местного значения, в рамках которого реализуется проект:</w:t>
      </w:r>
    </w:p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jc w:val="both"/>
      </w:pPr>
    </w:p>
    <w:p w:rsidR="00520DD0" w:rsidRDefault="00520DD0" w:rsidP="00520DD0">
      <w:pPr>
        <w:jc w:val="both"/>
      </w:pPr>
      <w:r>
        <w:rPr>
          <w:rFonts w:ascii="TimesNewRomanPS" w:hAnsi="TimesNewRomanPS"/>
          <w:i/>
          <w:iCs/>
        </w:rPr>
        <w:lastRenderedPageBreak/>
        <w:t>(наименование вопроса местного значения, в рамках которого реализуется проект в соответствии с Федеральным законом от 06.10.2003 № 131-ФЗ «Об общих принципах организации местного самоуправления в Российской Федерации»)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>5. Описание проекта: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br/>
        <w:t xml:space="preserve">5.1. Описание проблемы, на решение которой направлен проект: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" w:hAnsi="TimesNewRomanPS"/>
                <w:i/>
                <w:iCs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ascii="TimesNewRomanPS" w:hAnsi="TimesNewRomanPS"/>
          <w:i/>
          <w:iCs/>
        </w:rPr>
        <w:t xml:space="preserve">(суть проблемы, ее негативные социально-экономические последствия, год постройки объекта общественной инфраструктуры, предусмотренного проектом, его текущее состояние, степень неотложности решения проблемы и т.д.)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5.2. Общая стоимость реализации проекта: 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685"/>
        <w:gridCol w:w="2335"/>
        <w:gridCol w:w="2335"/>
      </w:tblGrid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Виды работ (услуг)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Полная стоимость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Комментарии</w:t>
            </w: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Прочие (отражается строительный контроль в случае если не включен в пункте 2)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Итоговая стоимость реализации проекта: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5.3. Ожидаемые результаты: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i/>
          <w:iCs/>
        </w:rPr>
        <w:t xml:space="preserve">(указывается прогноз влияния реализации проекта на ситуацию в муниципальном образовании, ожидаемый экономический эффект для бюджета муниципального образования)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 xml:space="preserve">5.4. Наличие технической, проектной и сметной документации: 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9032"/>
      </w:tblGrid>
      <w:tr w:rsidR="00520DD0" w:rsidTr="00520DD0">
        <w:trPr>
          <w:trHeight w:val="26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локальные сметы (сводный сметный расчет) на работы (услуги) в рамках проекта </w:t>
            </w:r>
          </w:p>
        </w:tc>
      </w:tr>
      <w:tr w:rsidR="00520DD0" w:rsidTr="00520DD0">
        <w:trPr>
          <w:gridAfter w:val="1"/>
          <w:wAfter w:w="9032" w:type="dxa"/>
          <w:trHeight w:val="262"/>
        </w:trPr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520DD0" w:rsidTr="00520DD0">
        <w:trPr>
          <w:trHeight w:val="26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line="254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проектная документация на работы (услуги) в рамках проекта</w:t>
            </w:r>
          </w:p>
        </w:tc>
      </w:tr>
      <w:tr w:rsidR="00520DD0" w:rsidTr="00520DD0">
        <w:trPr>
          <w:gridAfter w:val="1"/>
          <w:wAfter w:w="9032" w:type="dxa"/>
          <w:trHeight w:val="262"/>
        </w:trPr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520DD0" w:rsidTr="00520DD0">
        <w:trPr>
          <w:trHeight w:val="26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line="254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иное (указать)</w:t>
            </w: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lastRenderedPageBreak/>
        <w:t xml:space="preserve">6. Информация для оценки проекта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6.1. Планируемые источники финансирования реализации проекта</w:t>
      </w:r>
    </w:p>
    <w:p w:rsidR="00520DD0" w:rsidRDefault="00520DD0" w:rsidP="00520DD0">
      <w:pPr>
        <w:spacing w:before="100" w:beforeAutospacing="1" w:after="100" w:afterAutospacing="1"/>
        <w:jc w:val="right"/>
      </w:pPr>
      <w:r>
        <w:rPr>
          <w:rFonts w:ascii="TimesNewRomanPS" w:hAnsi="TimesNewRomanPS"/>
          <w:bCs/>
        </w:rPr>
        <w:t xml:space="preserve">Таблица 1 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887"/>
        <w:gridCol w:w="2335"/>
        <w:gridCol w:w="2335"/>
      </w:tblGrid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№ п/п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center"/>
            </w:pPr>
            <w:r>
              <w:t>Виды источников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D0" w:rsidRDefault="00520DD0">
            <w:pPr>
              <w:spacing w:before="100" w:beforeAutospacing="1" w:after="100" w:afterAutospacing="1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Сумма</w:t>
            </w:r>
          </w:p>
          <w:p w:rsidR="00520DD0" w:rsidRDefault="00520DD0">
            <w:pPr>
              <w:spacing w:before="100" w:beforeAutospacing="1" w:after="100" w:afterAutospacing="1"/>
              <w:jc w:val="center"/>
            </w:pPr>
            <w:r>
              <w:rPr>
                <w:rFonts w:ascii="TimesNewRomanPSMT" w:hAnsi="TimesNewRomanPSMT" w:cs="TimesNewRomanPSMT"/>
              </w:rPr>
              <w:t>(тыс. рублей)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center"/>
            </w:pPr>
            <w:r>
              <w:rPr>
                <w:rFonts w:ascii="TimesNewRomanPSMT" w:hAnsi="TimesNewRomanPSMT" w:cs="TimesNewRomanPSMT"/>
              </w:rPr>
              <w:t>Доля в общей сумме проекта (%)</w:t>
            </w:r>
          </w:p>
        </w:tc>
      </w:tr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</w:tr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Местный бюджет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rPr>
          <w:trHeight w:val="127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Население – безвозмездные поступления от физических лиц (жителей)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Организации – безвозмездные поступления от организаций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rPr>
          <w:trHeight w:val="3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Предполагаемый размер субсидии бюджету городского округа Московской области из бюджета Московской области на реализацию проекта инициативного бюджетирования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Итого: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i/>
          <w:iCs/>
        </w:rPr>
      </w:pPr>
      <w:r>
        <w:rPr>
          <w:rFonts w:ascii="TimesNewRomanPS" w:hAnsi="TimesNewRomanPS"/>
          <w:b/>
          <w:bCs/>
        </w:rPr>
        <w:t xml:space="preserve">Расшифровка вклада организаций </w:t>
      </w:r>
      <w:r>
        <w:rPr>
          <w:rFonts w:ascii="TimesNewRomanPS" w:hAnsi="TimesNewRomanPS"/>
          <w:i/>
          <w:iCs/>
        </w:rPr>
        <w:t xml:space="preserve">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>(расшифровывается сумма строки 3 таблицы 1 пункта. 6.1)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454"/>
        <w:gridCol w:w="4253"/>
      </w:tblGrid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№ п/п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center"/>
            </w:pPr>
            <w:r>
              <w:t>Наименование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center"/>
            </w:pPr>
            <w:r>
              <w:t>Денежный вклад, (рублей)</w:t>
            </w: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rPr>
          <w:trHeight w:val="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6.2. Участие населения в определении проблемы, на решение которой направлен проект: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" w:hAnsi="TimesNewRomanPS"/>
          <w:b/>
          <w:bCs/>
        </w:rPr>
        <w:t>6.2.1. Количество лиц, принявших участие в голосовании на портале «</w:t>
      </w:r>
      <w:proofErr w:type="spellStart"/>
      <w:r>
        <w:rPr>
          <w:rFonts w:ascii="TimesNewRomanPS" w:hAnsi="TimesNewRomanPS"/>
          <w:b/>
          <w:bCs/>
        </w:rPr>
        <w:t>Добродел</w:t>
      </w:r>
      <w:proofErr w:type="spellEnd"/>
      <w:r>
        <w:rPr>
          <w:rFonts w:ascii="TimesNewRomanPS" w:hAnsi="TimesNewRomanPS"/>
          <w:b/>
          <w:bCs/>
        </w:rPr>
        <w:t xml:space="preserve">» </w:t>
      </w:r>
      <w:r>
        <w:rPr>
          <w:rFonts w:ascii="TimesNewRomanPSMT" w:hAnsi="TimesNewRomanPSMT" w:cs="TimesNewRomanPSMT"/>
        </w:rPr>
        <w:t>(человек):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ascii="TimesNewRomanPS" w:hAnsi="TimesNewRomanPS"/>
          <w:b/>
          <w:bCs/>
        </w:rPr>
        <w:t xml:space="preserve">6.3. Социальная эффективность от реализации проекта: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lastRenderedPageBreak/>
        <w:t xml:space="preserve">6.3.1. </w:t>
      </w:r>
      <w:proofErr w:type="spellStart"/>
      <w:r>
        <w:rPr>
          <w:rFonts w:ascii="TimesNewRomanPS" w:hAnsi="TimesNewRomanPS"/>
          <w:b/>
          <w:bCs/>
        </w:rPr>
        <w:t>Благополучатели</w:t>
      </w:r>
      <w:proofErr w:type="spellEnd"/>
      <w:r>
        <w:rPr>
          <w:rFonts w:ascii="TimesNewRomanPS" w:hAnsi="TimesNewRomanPS"/>
          <w:b/>
          <w:bCs/>
        </w:rPr>
        <w:t xml:space="preserve"> проекта: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ascii="TimesNewRomanPS" w:hAnsi="TimesNewRomanPS"/>
          <w:b/>
          <w:bCs/>
        </w:rPr>
        <w:t xml:space="preserve">Прямые </w:t>
      </w:r>
      <w:proofErr w:type="spellStart"/>
      <w:r>
        <w:rPr>
          <w:rFonts w:ascii="TimesNewRomanPS" w:hAnsi="TimesNewRomanPS"/>
          <w:b/>
          <w:bCs/>
        </w:rPr>
        <w:t>благополучатели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MT" w:hAnsi="TimesNewRomanPSMT" w:cs="TimesNewRomanPSMT"/>
        </w:rPr>
        <w:t xml:space="preserve">Описание прямых </w:t>
      </w:r>
      <w:proofErr w:type="spellStart"/>
      <w:r>
        <w:rPr>
          <w:rFonts w:ascii="TimesNewRomanPSMT" w:hAnsi="TimesNewRomanPSMT" w:cs="TimesNewRomanPSMT"/>
        </w:rPr>
        <w:t>благополучателей</w:t>
      </w:r>
      <w:proofErr w:type="spellEnd"/>
      <w:r>
        <w:rPr>
          <w:rFonts w:ascii="TimesNewRomanPSMT" w:hAnsi="TimesNewRomanPSMT" w:cs="TimesNewRomanPSMT"/>
        </w:rPr>
        <w:t xml:space="preserve">: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i/>
          <w:iCs/>
        </w:rPr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</w:t>
      </w:r>
      <w:proofErr w:type="spellStart"/>
      <w:r>
        <w:rPr>
          <w:rFonts w:ascii="TimesNewRomanPS" w:hAnsi="TimesNewRomanPS"/>
          <w:i/>
          <w:iCs/>
        </w:rPr>
        <w:t>благополучателями</w:t>
      </w:r>
      <w:proofErr w:type="spellEnd"/>
      <w:r>
        <w:rPr>
          <w:rFonts w:ascii="TimesNewRomanPS" w:hAnsi="TimesNewRomanPS"/>
          <w:i/>
          <w:iCs/>
        </w:rPr>
        <w:t xml:space="preserve"> будут являться жители этой и прилегающих улиц, которые регулярно ходят или ездят по отремонтированной улице)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" w:hAnsi="TimesNewRomanPS"/>
          <w:b/>
          <w:bCs/>
        </w:rPr>
        <w:t xml:space="preserve">Количество прямых </w:t>
      </w:r>
      <w:proofErr w:type="spellStart"/>
      <w:r>
        <w:rPr>
          <w:rFonts w:ascii="TimesNewRomanPS" w:hAnsi="TimesNewRomanPS"/>
          <w:b/>
          <w:bCs/>
        </w:rPr>
        <w:t>благополучателей</w:t>
      </w:r>
      <w:proofErr w:type="spellEnd"/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 w:cs="TimesNewRomanPSMT"/>
        </w:rPr>
        <w:t>(человек):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 xml:space="preserve">Косвенные </w:t>
      </w:r>
      <w:proofErr w:type="spellStart"/>
      <w:r>
        <w:rPr>
          <w:rFonts w:ascii="TimesNewRomanPS" w:hAnsi="TimesNewRomanPS"/>
          <w:b/>
          <w:bCs/>
        </w:rPr>
        <w:t>благополучатели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MT" w:hAnsi="TimesNewRomanPSMT" w:cs="TimesNewRomanPSMT"/>
        </w:rPr>
        <w:t xml:space="preserve">Описание косвенных </w:t>
      </w:r>
      <w:proofErr w:type="spellStart"/>
      <w:r>
        <w:rPr>
          <w:rFonts w:ascii="TimesNewRomanPSMT" w:hAnsi="TimesNewRomanPSMT" w:cs="TimesNewRomanPSMT"/>
        </w:rPr>
        <w:t>благополучателей</w:t>
      </w:r>
      <w:proofErr w:type="spellEnd"/>
      <w:r>
        <w:rPr>
          <w:rFonts w:ascii="TimesNewRomanPSMT" w:hAnsi="TimesNewRomanPSMT" w:cs="TimesNewRomanPSMT"/>
        </w:rPr>
        <w:t xml:space="preserve">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 xml:space="preserve">(указываются группы населения, которые эпизодически (несколько раз в год) будут пользоваться результатами проекта, но не принимают участие в его реализации (например, в случае ремонта дома культуры косвенными </w:t>
      </w:r>
      <w:proofErr w:type="spellStart"/>
      <w:r>
        <w:rPr>
          <w:rFonts w:ascii="TimesNewRomanPS" w:hAnsi="TimesNewRomanPS"/>
          <w:i/>
          <w:iCs/>
        </w:rPr>
        <w:t>благополучателями</w:t>
      </w:r>
      <w:proofErr w:type="spellEnd"/>
      <w:r>
        <w:rPr>
          <w:rFonts w:ascii="TimesNewRomanPS" w:hAnsi="TimesNewRomanPS"/>
          <w:i/>
          <w:iCs/>
        </w:rPr>
        <w:t xml:space="preserve"> будут являться жители других муниципальных образований))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 xml:space="preserve">Количество косвенных </w:t>
      </w:r>
      <w:proofErr w:type="spellStart"/>
      <w:r>
        <w:rPr>
          <w:rFonts w:ascii="TimesNewRomanPS" w:hAnsi="TimesNewRomanPS"/>
          <w:b/>
          <w:bCs/>
        </w:rPr>
        <w:t>благополучателей</w:t>
      </w:r>
      <w:proofErr w:type="spellEnd"/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 w:cs="TimesNewRomanPSMT"/>
        </w:rPr>
        <w:t>(человек):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" w:hAnsi="TimesNewRomanPS"/>
          <w:b/>
          <w:bCs/>
        </w:rPr>
        <w:t xml:space="preserve">Общее количество </w:t>
      </w:r>
      <w:proofErr w:type="spellStart"/>
      <w:r>
        <w:rPr>
          <w:rFonts w:ascii="TimesNewRomanPS" w:hAnsi="TimesNewRomanPS"/>
          <w:b/>
          <w:bCs/>
        </w:rPr>
        <w:t>благополучателей</w:t>
      </w:r>
      <w:proofErr w:type="spellEnd"/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 w:cs="TimesNewRomanPSMT"/>
        </w:rPr>
        <w:t>(человек):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6.4. Информирование населения о проекте:</w:t>
      </w:r>
      <w:r>
        <w:rPr>
          <w:rFonts w:ascii="TimesNewRomanPS" w:hAnsi="TimesNewRomanPS"/>
          <w:i/>
          <w:iCs/>
        </w:rPr>
        <w:t xml:space="preserve">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>6.4.1. Использование средств массовой информации для информирования населения о проекте до голосования на портале «</w:t>
      </w:r>
      <w:proofErr w:type="spellStart"/>
      <w:r>
        <w:rPr>
          <w:rFonts w:ascii="TimesNewRomanPS" w:hAnsi="TimesNewRomanPS"/>
          <w:b/>
          <w:bCs/>
        </w:rPr>
        <w:t>Добродел</w:t>
      </w:r>
      <w:proofErr w:type="spellEnd"/>
      <w:r>
        <w:rPr>
          <w:rFonts w:ascii="TimesNewRomanPS" w:hAnsi="TimesNewRomanPS"/>
          <w:b/>
          <w:bCs/>
        </w:rPr>
        <w:t xml:space="preserve">»: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990"/>
      </w:tblGrid>
      <w:tr w:rsidR="00520DD0" w:rsidTr="00520DD0">
        <w:trPr>
          <w:trHeight w:val="46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информирование населения о проекте до голосования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» посредством печатных изданий средств массовой информации (перечислить издания, приложить копии (скриншоты): </w:t>
            </w:r>
          </w:p>
        </w:tc>
      </w:tr>
    </w:tbl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i/>
          <w:iCs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990"/>
      </w:tblGrid>
      <w:tr w:rsidR="00520DD0" w:rsidTr="00520DD0">
        <w:trPr>
          <w:trHeight w:val="46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информирование населения о проекте до голосования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» посредством электронных изданий средств массовой информации (перечислить </w:t>
            </w:r>
            <w:r>
              <w:rPr>
                <w:rFonts w:ascii="TimesNewRomanPSMT" w:hAnsi="TimesNewRomanPSMT" w:cs="TimesNewRomanPSMT"/>
              </w:rPr>
              <w:lastRenderedPageBreak/>
              <w:t xml:space="preserve">издания, приложить копии (скриншоты): </w:t>
            </w:r>
          </w:p>
        </w:tc>
      </w:tr>
    </w:tbl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>6.4.2. Освещение итогов голосования на портале «</w:t>
      </w:r>
      <w:proofErr w:type="spellStart"/>
      <w:r>
        <w:rPr>
          <w:rFonts w:ascii="TimesNewRomanPS" w:hAnsi="TimesNewRomanPS"/>
          <w:b/>
          <w:bCs/>
        </w:rPr>
        <w:t>Добродел</w:t>
      </w:r>
      <w:proofErr w:type="spellEnd"/>
      <w:r>
        <w:rPr>
          <w:rFonts w:ascii="TimesNewRomanPS" w:hAnsi="TimesNewRomanPS"/>
          <w:b/>
          <w:bCs/>
        </w:rPr>
        <w:t xml:space="preserve">» и заседания муниципальной конкурсной комиссии в печатных средствах массовой информации: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990"/>
      </w:tblGrid>
      <w:tr w:rsidR="00520DD0" w:rsidTr="00520DD0">
        <w:trPr>
          <w:trHeight w:val="75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наличие в печатных изданиях средств массовой информации сведений о результатах голосования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>» и заседания муниципальной конкурсной комиссии с указанием выбранного проекта, количества проголосовавших за проект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», вклада населения (перечислить издания, приложить копии (скриншоты): </w:t>
            </w:r>
          </w:p>
        </w:tc>
      </w:tr>
    </w:tbl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990"/>
      </w:tblGrid>
      <w:tr w:rsidR="00520DD0" w:rsidTr="00520DD0">
        <w:trPr>
          <w:trHeight w:val="11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наличие в электронных изданиях средств массовой информации сведений о результатах голосования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>» и заседания муниципальной конкурсной комиссии с указанием выбранного проекта, количества проголосовавших за проект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>», вклада населения (перечислить издания, указать ссылки на статьи, приложить копии (скриншоты):</w:t>
            </w:r>
          </w:p>
        </w:tc>
      </w:tr>
    </w:tbl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 xml:space="preserve">7. </w:t>
      </w:r>
      <w:proofErr w:type="spellStart"/>
      <w:r>
        <w:rPr>
          <w:rFonts w:ascii="TimesNewRomanPS" w:hAnsi="TimesNewRomanPS"/>
          <w:b/>
          <w:bCs/>
        </w:rPr>
        <w:t>Ожидаемыи</w:t>
      </w:r>
      <w:proofErr w:type="spellEnd"/>
      <w:r>
        <w:rPr>
          <w:rFonts w:ascii="TimesNewRomanPS" w:hAnsi="TimesNewRomanPS"/>
          <w:b/>
          <w:bCs/>
        </w:rPr>
        <w:t xml:space="preserve">̆ срок реализации проекта: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jc w:val="both"/>
      </w:pP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8. Сведения об инициаторе проекта: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t>Инициатором проекта является (выбрать из списка):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5"/>
        <w:gridCol w:w="774"/>
      </w:tblGrid>
      <w:tr w:rsidR="00520DD0" w:rsidTr="00520DD0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Житель городского округа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Инициативная группа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ТОС (территориальное общественное самоуправление)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Депутат Московской областной Думы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ФИО руководителя инициативной группы/ председателя ТОС/ депутата Московской областной Думы/ жителя-инициатора проекта: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hAnsi="TimesNewRomanPSMT" w:cs="TimesNewRomanPSMT"/>
        </w:rPr>
        <w:t xml:space="preserve">контактный телефон: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адрес электронной почты: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Состав инициативной группы (ФИО) (в случае, если инициатором проекта является инициативная группа):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ascii="TimesNewRomanPS" w:hAnsi="TimesNewRomanPS"/>
          <w:b/>
          <w:bCs/>
        </w:rPr>
        <w:t>9. Дополнительная информация и комментарии: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Проект поддержан населением муниципального образования на портале «</w:t>
      </w:r>
      <w:proofErr w:type="spellStart"/>
      <w:r>
        <w:rPr>
          <w:rFonts w:ascii="TimesNewRomanPS" w:hAnsi="TimesNewRomanPS"/>
          <w:b/>
          <w:bCs/>
        </w:rPr>
        <w:t>Добродел</w:t>
      </w:r>
      <w:proofErr w:type="spellEnd"/>
      <w:r>
        <w:rPr>
          <w:rFonts w:ascii="TimesNewRomanPS" w:hAnsi="TimesNewRomanPS"/>
          <w:b/>
          <w:bCs/>
        </w:rPr>
        <w:t xml:space="preserve">»: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Даты проведения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t xml:space="preserve">Глава городского округа: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 xml:space="preserve">        (подпись)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Почтовый адрес администрации городского округа: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Ответственный сотрудник от администрации городского округа Московской области за реализацию проектов инициативного бюджетирования (ФИО полностью и должность):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20DD0" w:rsidTr="00520DD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hAnsi="TimesNewRomanPSMT" w:cs="TimesNewRomanPSMT"/>
        </w:rPr>
        <w:t xml:space="preserve">Контактный телефон: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Адрес электронной почты: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MT" w:hAnsi="TimesNewRomanPSMT" w:cs="TimesNewRomanPSMT"/>
        </w:rPr>
        <w:t>Дата: «__» _______ _____ г.».</w:t>
      </w:r>
    </w:p>
    <w:p w:rsidR="00520DD0" w:rsidRDefault="00520DD0" w:rsidP="00520DD0">
      <w:pPr>
        <w:spacing w:line="276" w:lineRule="auto"/>
      </w:pPr>
    </w:p>
    <w:p w:rsidR="00184768" w:rsidRDefault="00184768" w:rsidP="00184768">
      <w:pPr>
        <w:widowControl w:val="0"/>
        <w:autoSpaceDE w:val="0"/>
        <w:autoSpaceDN w:val="0"/>
        <w:adjustRightInd w:val="0"/>
        <w:ind w:firstLine="5387"/>
        <w:outlineLvl w:val="0"/>
      </w:pPr>
      <w:r>
        <w:t xml:space="preserve">           Приложение 1</w:t>
      </w:r>
    </w:p>
    <w:p w:rsidR="00184768" w:rsidRDefault="00184768" w:rsidP="00184768">
      <w:pPr>
        <w:widowControl w:val="0"/>
        <w:autoSpaceDE w:val="0"/>
        <w:autoSpaceDN w:val="0"/>
        <w:adjustRightInd w:val="0"/>
        <w:ind w:left="5387"/>
        <w:outlineLvl w:val="0"/>
      </w:pPr>
      <w:r>
        <w:t xml:space="preserve">к Порядку проведения конкурсного отбора проектов </w:t>
      </w:r>
    </w:p>
    <w:p w:rsidR="00184768" w:rsidRDefault="00184768" w:rsidP="00184768">
      <w:pPr>
        <w:widowControl w:val="0"/>
        <w:autoSpaceDE w:val="0"/>
        <w:autoSpaceDN w:val="0"/>
        <w:adjustRightInd w:val="0"/>
        <w:ind w:left="5387"/>
        <w:outlineLvl w:val="0"/>
      </w:pPr>
      <w:r>
        <w:t>инициативного бюджетирования в Московской области</w:t>
      </w:r>
    </w:p>
    <w:p w:rsidR="00184768" w:rsidRDefault="00184768" w:rsidP="00184768">
      <w:pPr>
        <w:widowControl w:val="0"/>
        <w:autoSpaceDE w:val="0"/>
        <w:autoSpaceDN w:val="0"/>
        <w:adjustRightInd w:val="0"/>
        <w:jc w:val="right"/>
        <w:outlineLvl w:val="0"/>
      </w:pP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конкурсного отбора, их значения и </w:t>
      </w: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соответствующие им баллы </w:t>
      </w: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483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51"/>
        <w:gridCol w:w="3458"/>
        <w:gridCol w:w="511"/>
        <w:gridCol w:w="3257"/>
        <w:gridCol w:w="1844"/>
      </w:tblGrid>
      <w:tr w:rsidR="00184768" w:rsidTr="00184768">
        <w:trPr>
          <w:trHeight w:val="95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критериев конкурсного отбора</w:t>
            </w: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критериев конкурсного отбора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184768" w:rsidTr="00184768">
        <w:trPr>
          <w:trHeight w:val="706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</w:p>
        </w:tc>
        <w:tc>
          <w:tcPr>
            <w:tcW w:w="90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  <w:proofErr w:type="spellStart"/>
            <w:r>
              <w:rPr>
                <w:b/>
                <w:lang w:eastAsia="en-US"/>
              </w:rPr>
              <w:t>софинансирования</w:t>
            </w:r>
            <w:proofErr w:type="spellEnd"/>
            <w:r>
              <w:rPr>
                <w:b/>
                <w:lang w:eastAsia="en-US"/>
              </w:rPr>
              <w:t xml:space="preserve"> проекта из местного бюджета, в том числе:</w:t>
            </w:r>
          </w:p>
        </w:tc>
      </w:tr>
      <w:tr w:rsidR="00184768" w:rsidTr="00184768">
        <w:trPr>
          <w:trHeight w:val="563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из местного бюджета в денежной форме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Свыше 15%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84768" w:rsidTr="00184768">
        <w:trPr>
          <w:trHeight w:val="515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10 до </w:t>
            </w:r>
            <w:r>
              <w:rPr>
                <w:lang w:val="en-US" w:eastAsia="en-US"/>
              </w:rPr>
              <w:t>15%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84768" w:rsidTr="00184768">
        <w:trPr>
          <w:trHeight w:val="55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7 до </w:t>
            </w:r>
            <w:r>
              <w:rPr>
                <w:lang w:val="en-US" w:eastAsia="en-US"/>
              </w:rPr>
              <w:t>10%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84768" w:rsidTr="00184768">
        <w:trPr>
          <w:trHeight w:val="572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от</w:t>
            </w:r>
            <w:proofErr w:type="spellEnd"/>
            <w:r>
              <w:rPr>
                <w:lang w:val="en-US" w:eastAsia="en-US"/>
              </w:rPr>
              <w:t xml:space="preserve"> 5 </w:t>
            </w:r>
            <w:proofErr w:type="spellStart"/>
            <w:r>
              <w:rPr>
                <w:lang w:val="en-US" w:eastAsia="en-US"/>
              </w:rPr>
              <w:t>до</w:t>
            </w:r>
            <w:proofErr w:type="spellEnd"/>
            <w:r>
              <w:rPr>
                <w:lang w:val="en-US" w:eastAsia="en-US"/>
              </w:rPr>
              <w:t xml:space="preserve"> 7%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84768" w:rsidTr="00184768">
        <w:trPr>
          <w:trHeight w:val="520"/>
        </w:trPr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3 до</w:t>
            </w:r>
            <w:r>
              <w:rPr>
                <w:lang w:val="en-US" w:eastAsia="en-US"/>
              </w:rPr>
              <w:t xml:space="preserve"> 5%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84768" w:rsidTr="00184768">
        <w:trPr>
          <w:trHeight w:val="556"/>
        </w:trPr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1 до 3%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84768" w:rsidTr="00184768"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уровня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, установленного Министерством экономики и финансов Московской области на соответствующий финансовый год (с учетом п. 1.2 Критериев)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из внебюджетных источников, за исключением поступлений от предприятий и организаций муниципальной и государственной форм собственности, в денежной форме</w:t>
            </w:r>
          </w:p>
        </w:tc>
        <w:tc>
          <w:tcPr>
            <w:tcW w:w="32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15% и выше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84768" w:rsidTr="00184768">
        <w:trPr>
          <w:trHeight w:val="5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 до 15%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84768" w:rsidTr="00184768">
        <w:trPr>
          <w:trHeight w:val="5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5 до 10%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84768" w:rsidTr="00184768">
        <w:trPr>
          <w:trHeight w:val="5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 до 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84768" w:rsidTr="00184768">
        <w:trPr>
          <w:trHeight w:val="5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649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эффективность от реализации проекта, в том числе:</w:t>
            </w:r>
          </w:p>
        </w:tc>
      </w:tr>
      <w:tr w:rsidR="00184768" w:rsidTr="00184768">
        <w:trPr>
          <w:trHeight w:val="4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>
              <w:rPr>
                <w:lang w:eastAsia="en-US"/>
              </w:rPr>
              <w:t>благополучателей</w:t>
            </w:r>
            <w:proofErr w:type="spellEnd"/>
            <w:r>
              <w:rPr>
                <w:lang w:eastAsia="en-US"/>
              </w:rPr>
              <w:t xml:space="preserve">) (в % от численности жителей </w:t>
            </w:r>
            <w:r>
              <w:rPr>
                <w:lang w:eastAsia="en-US"/>
              </w:rPr>
              <w:lastRenderedPageBreak/>
              <w:t xml:space="preserve">населенного пункта) </w:t>
            </w:r>
          </w:p>
          <w:p w:rsidR="00184768" w:rsidRDefault="00184768">
            <w:pPr>
              <w:pStyle w:val="afffd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((Количество </w:t>
            </w:r>
            <w:proofErr w:type="spellStart"/>
            <w:r>
              <w:rPr>
                <w:i/>
                <w:lang w:eastAsia="en-US"/>
              </w:rPr>
              <w:t>благополучателей</w:t>
            </w:r>
            <w:proofErr w:type="spellEnd"/>
            <w:r>
              <w:rPr>
                <w:i/>
                <w:lang w:eastAsia="en-US"/>
              </w:rPr>
              <w:t xml:space="preserve"> / количество жителей населенного пункта) х 100)</w:t>
            </w: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Свыше 10,01%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84768" w:rsidTr="00184768">
        <w:trPr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5,01 до 10%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768" w:rsidTr="00184768">
        <w:trPr>
          <w:trHeight w:val="551"/>
        </w:trPr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1,01 до 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84768" w:rsidTr="00184768">
        <w:trPr>
          <w:trHeight w:val="559"/>
        </w:trPr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270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</w:t>
            </w:r>
          </w:p>
        </w:tc>
        <w:tc>
          <w:tcPr>
            <w:tcW w:w="345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жителей, проголосовавших за проект на информационном портале «</w:t>
            </w:r>
            <w:proofErr w:type="spellStart"/>
            <w:r>
              <w:rPr>
                <w:lang w:eastAsia="en-US"/>
              </w:rPr>
              <w:t>Добродел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2500 человек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84768" w:rsidTr="00184768">
        <w:trPr>
          <w:trHeight w:val="21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2000 до 2499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84768" w:rsidTr="00184768">
        <w:trPr>
          <w:trHeight w:val="217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1500 до 1999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84768" w:rsidTr="00184768">
        <w:trPr>
          <w:trHeight w:val="21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1000 до 1499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84768" w:rsidTr="00184768">
        <w:trPr>
          <w:trHeight w:val="21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499 до 999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84768" w:rsidTr="00184768">
        <w:trPr>
          <w:trHeight w:val="21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100 до 499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76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9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Степень участия населения в определении проблемы, на решение которой направлен проект, в том числе:</w:t>
            </w:r>
          </w:p>
        </w:tc>
      </w:tr>
      <w:tr w:rsidR="00184768" w:rsidTr="00184768">
        <w:trPr>
          <w:trHeight w:val="160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3.1</w:t>
            </w:r>
          </w:p>
        </w:tc>
        <w:tc>
          <w:tcPr>
            <w:tcW w:w="3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мероприятий, посвященных предварительному обсуждению проекта (анкеты, протоколы собраний, в социальных сетях и т.д.)</w:t>
            </w: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Наличие предварительного обсуждения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184768" w:rsidTr="00184768">
        <w:trPr>
          <w:trHeight w:val="167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Отсутствие предварительного обсуждения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184768" w:rsidTr="00184768">
        <w:trPr>
          <w:trHeight w:val="922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Информирование населения о проекте, в том числе:</w:t>
            </w:r>
          </w:p>
        </w:tc>
      </w:tr>
      <w:tr w:rsidR="00184768" w:rsidTr="00184768">
        <w:trPr>
          <w:trHeight w:val="16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информации о проекте в СМИ и (или) размещение полиграфической продукции, в том числе: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4768" w:rsidTr="00184768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Телевидение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5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сети </w:t>
            </w:r>
          </w:p>
        </w:tc>
        <w:tc>
          <w:tcPr>
            <w:tcW w:w="3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5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Печатные издания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5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Листовки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Объявление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Участие депутата Московской областной Думы в инициировании проекта</w:t>
            </w:r>
          </w:p>
        </w:tc>
      </w:tr>
      <w:tr w:rsidR="00184768" w:rsidTr="00184768">
        <w:trPr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Инициирование проекта депутатом Московской </w:t>
            </w:r>
            <w:r>
              <w:rPr>
                <w:lang w:eastAsia="en-US"/>
              </w:rPr>
              <w:lastRenderedPageBreak/>
              <w:t>областной Думы</w:t>
            </w:r>
          </w:p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84768" w:rsidTr="00184768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84768" w:rsidRDefault="00184768" w:rsidP="00184768">
      <w:pPr>
        <w:spacing w:after="200" w:line="276" w:lineRule="auto"/>
      </w:pPr>
    </w:p>
    <w:p w:rsidR="00520DD0" w:rsidRDefault="00520DD0" w:rsidP="00520DD0">
      <w:pPr>
        <w:spacing w:line="276" w:lineRule="auto"/>
      </w:pPr>
    </w:p>
    <w:p w:rsidR="00520DD0" w:rsidRDefault="00520DD0" w:rsidP="00520DD0">
      <w:pPr>
        <w:rPr>
          <w:rFonts w:ascii="Calibri" w:eastAsia="Calibri" w:hAnsi="Calibri"/>
          <w:lang w:eastAsia="en-US"/>
        </w:rPr>
      </w:pPr>
    </w:p>
    <w:p w:rsidR="00520DD0" w:rsidRDefault="00520DD0" w:rsidP="00520DD0"/>
    <w:p w:rsidR="00B51A90" w:rsidRDefault="00B51A90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sectPr w:rsidR="00184768" w:rsidSect="003C0F02">
      <w:headerReference w:type="even" r:id="rId9"/>
      <w:headerReference w:type="default" r:id="rId10"/>
      <w:pgSz w:w="11909" w:h="16834"/>
      <w:pgMar w:top="1134" w:right="71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5C" w:rsidRDefault="008A275C">
      <w:r>
        <w:separator/>
      </w:r>
    </w:p>
  </w:endnote>
  <w:endnote w:type="continuationSeparator" w:id="0">
    <w:p w:rsidR="008A275C" w:rsidRDefault="008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5C" w:rsidRDefault="008A275C">
      <w:r>
        <w:separator/>
      </w:r>
    </w:p>
  </w:footnote>
  <w:footnote w:type="continuationSeparator" w:id="0">
    <w:p w:rsidR="008A275C" w:rsidRDefault="008A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E8" w:rsidRDefault="009527E8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27E8" w:rsidRDefault="009527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E8" w:rsidRDefault="009527E8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9527E8" w:rsidRDefault="009527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03A98"/>
    <w:multiLevelType w:val="hybridMultilevel"/>
    <w:tmpl w:val="FE6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0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4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71EF7"/>
    <w:multiLevelType w:val="hybridMultilevel"/>
    <w:tmpl w:val="EBC47A7C"/>
    <w:lvl w:ilvl="0" w:tplc="8A787D7A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AC7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34A4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55C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153B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65FB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365C"/>
    <w:rsid w:val="00184768"/>
    <w:rsid w:val="00185071"/>
    <w:rsid w:val="00186360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0EDD"/>
    <w:rsid w:val="001B1642"/>
    <w:rsid w:val="001B1BFC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6542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3FA3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2FA3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5212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7A9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0F02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3F732B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44E5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01AB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155D"/>
    <w:rsid w:val="0047335F"/>
    <w:rsid w:val="0047371C"/>
    <w:rsid w:val="00473C7B"/>
    <w:rsid w:val="004746FE"/>
    <w:rsid w:val="00474E1E"/>
    <w:rsid w:val="00475AE0"/>
    <w:rsid w:val="00476253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7FB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529D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0DD0"/>
    <w:rsid w:val="00521137"/>
    <w:rsid w:val="00521AA9"/>
    <w:rsid w:val="00522878"/>
    <w:rsid w:val="00522AE9"/>
    <w:rsid w:val="00522C22"/>
    <w:rsid w:val="005231E3"/>
    <w:rsid w:val="005233DA"/>
    <w:rsid w:val="00525029"/>
    <w:rsid w:val="00525C1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387D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B6D0F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5F0E40"/>
    <w:rsid w:val="00600C76"/>
    <w:rsid w:val="00600E61"/>
    <w:rsid w:val="00600F41"/>
    <w:rsid w:val="00601AA1"/>
    <w:rsid w:val="006028FB"/>
    <w:rsid w:val="00603FC4"/>
    <w:rsid w:val="0060423B"/>
    <w:rsid w:val="0060531F"/>
    <w:rsid w:val="00606035"/>
    <w:rsid w:val="006069DA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0C05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5F4F"/>
    <w:rsid w:val="00636FAA"/>
    <w:rsid w:val="00641C02"/>
    <w:rsid w:val="00641ED7"/>
    <w:rsid w:val="006437E1"/>
    <w:rsid w:val="00643ADD"/>
    <w:rsid w:val="006445D6"/>
    <w:rsid w:val="00645538"/>
    <w:rsid w:val="00646F79"/>
    <w:rsid w:val="00650D59"/>
    <w:rsid w:val="0065131C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591F"/>
    <w:rsid w:val="006962AD"/>
    <w:rsid w:val="00696864"/>
    <w:rsid w:val="00696DA7"/>
    <w:rsid w:val="006A1CC8"/>
    <w:rsid w:val="006A25CC"/>
    <w:rsid w:val="006A2C50"/>
    <w:rsid w:val="006A7436"/>
    <w:rsid w:val="006B2EC8"/>
    <w:rsid w:val="006B37FF"/>
    <w:rsid w:val="006B5FD8"/>
    <w:rsid w:val="006B77FB"/>
    <w:rsid w:val="006C14CE"/>
    <w:rsid w:val="006C451B"/>
    <w:rsid w:val="006C453F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3C82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3DE"/>
    <w:rsid w:val="00701872"/>
    <w:rsid w:val="00703173"/>
    <w:rsid w:val="00703756"/>
    <w:rsid w:val="00703B98"/>
    <w:rsid w:val="00705C1D"/>
    <w:rsid w:val="00706B95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45B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5AD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23"/>
    <w:rsid w:val="007849F5"/>
    <w:rsid w:val="00785A24"/>
    <w:rsid w:val="00786148"/>
    <w:rsid w:val="0079257C"/>
    <w:rsid w:val="00794207"/>
    <w:rsid w:val="00796DC1"/>
    <w:rsid w:val="007979DA"/>
    <w:rsid w:val="00797DF8"/>
    <w:rsid w:val="007A2FA5"/>
    <w:rsid w:val="007A473D"/>
    <w:rsid w:val="007A4B69"/>
    <w:rsid w:val="007A694A"/>
    <w:rsid w:val="007B0B00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4038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344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275C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C14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E28"/>
    <w:rsid w:val="009213C6"/>
    <w:rsid w:val="0092229C"/>
    <w:rsid w:val="00923655"/>
    <w:rsid w:val="00924A02"/>
    <w:rsid w:val="00924BF1"/>
    <w:rsid w:val="009255B3"/>
    <w:rsid w:val="009311F2"/>
    <w:rsid w:val="009324D9"/>
    <w:rsid w:val="00932615"/>
    <w:rsid w:val="00934E98"/>
    <w:rsid w:val="0093624E"/>
    <w:rsid w:val="0094089C"/>
    <w:rsid w:val="00940D9C"/>
    <w:rsid w:val="00946098"/>
    <w:rsid w:val="009500B5"/>
    <w:rsid w:val="00951307"/>
    <w:rsid w:val="00951BBD"/>
    <w:rsid w:val="00951C78"/>
    <w:rsid w:val="00952283"/>
    <w:rsid w:val="009527E8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4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0B6A"/>
    <w:rsid w:val="009C2254"/>
    <w:rsid w:val="009C3234"/>
    <w:rsid w:val="009C464B"/>
    <w:rsid w:val="009C488D"/>
    <w:rsid w:val="009C4C52"/>
    <w:rsid w:val="009C528C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5DA1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2913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2615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2179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174C7"/>
    <w:rsid w:val="00B2074F"/>
    <w:rsid w:val="00B2089B"/>
    <w:rsid w:val="00B208B7"/>
    <w:rsid w:val="00B27A9A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1A90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3F0E"/>
    <w:rsid w:val="00BB4840"/>
    <w:rsid w:val="00BC03A2"/>
    <w:rsid w:val="00BC27F5"/>
    <w:rsid w:val="00BC36BE"/>
    <w:rsid w:val="00BC47EF"/>
    <w:rsid w:val="00BC481F"/>
    <w:rsid w:val="00BC6035"/>
    <w:rsid w:val="00BC7280"/>
    <w:rsid w:val="00BC7885"/>
    <w:rsid w:val="00BD0486"/>
    <w:rsid w:val="00BD153E"/>
    <w:rsid w:val="00BD3701"/>
    <w:rsid w:val="00BD3795"/>
    <w:rsid w:val="00BD47B0"/>
    <w:rsid w:val="00BD657B"/>
    <w:rsid w:val="00BD7026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665A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7AA"/>
    <w:rsid w:val="00C4001D"/>
    <w:rsid w:val="00C41903"/>
    <w:rsid w:val="00C43022"/>
    <w:rsid w:val="00C43411"/>
    <w:rsid w:val="00C43B0B"/>
    <w:rsid w:val="00C46EA4"/>
    <w:rsid w:val="00C47044"/>
    <w:rsid w:val="00C470D9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2C5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433B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2676F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5E51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296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049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45"/>
    <w:rsid w:val="00EF0784"/>
    <w:rsid w:val="00EF186C"/>
    <w:rsid w:val="00EF3CAB"/>
    <w:rsid w:val="00EF3D78"/>
    <w:rsid w:val="00EF44EF"/>
    <w:rsid w:val="00EF4D15"/>
    <w:rsid w:val="00EF504F"/>
    <w:rsid w:val="00EF6802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27DA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0F02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55B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2457"/>
  <w15:docId w15:val="{FA3582AF-D5E1-49ED-8DA3-70561E9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  <w:style w:type="paragraph" w:customStyle="1" w:styleId="afffd">
    <w:name w:val="Нормальный"/>
    <w:rsid w:val="00520D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E78C986EE2957F4D7CBC28AECD79797B1A73D5916B4032B1FD8ACE4EC1DF8F555EBFA6E1FFF8F9ED77DD3I9L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AD2B-50F0-4EE1-9C0B-0AAC9F0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15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699</cp:revision>
  <cp:lastPrinted>2020-12-10T07:20:00Z</cp:lastPrinted>
  <dcterms:created xsi:type="dcterms:W3CDTF">2018-01-30T13:13:00Z</dcterms:created>
  <dcterms:modified xsi:type="dcterms:W3CDTF">2020-12-14T07:02:00Z</dcterms:modified>
</cp:coreProperties>
</file>