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          </w:t>
      </w:r>
      <w:r w:rsidR="00E37561">
        <w:rPr>
          <w:sz w:val="28"/>
          <w:szCs w:val="28"/>
        </w:rPr>
        <w:t>30</w:t>
      </w:r>
      <w:r w:rsidR="0072060A">
        <w:rPr>
          <w:sz w:val="28"/>
          <w:szCs w:val="28"/>
        </w:rPr>
        <w:t>.12</w:t>
      </w:r>
      <w:r w:rsidR="00E8064E">
        <w:rPr>
          <w:sz w:val="28"/>
          <w:szCs w:val="28"/>
        </w:rPr>
        <w:t>.2021</w:t>
      </w:r>
      <w:r w:rsidR="00850D4E">
        <w:rPr>
          <w:sz w:val="28"/>
          <w:szCs w:val="28"/>
        </w:rPr>
        <w:t xml:space="preserve">             </w:t>
      </w:r>
      <w:r w:rsidR="00E37561">
        <w:rPr>
          <w:sz w:val="28"/>
          <w:szCs w:val="28"/>
        </w:rPr>
        <w:t>487</w:t>
      </w:r>
    </w:p>
    <w:p w:rsidR="00DB38AC" w:rsidRDefault="00DB38AC" w:rsidP="009E071E">
      <w:pPr>
        <w:jc w:val="both"/>
        <w:rPr>
          <w:sz w:val="28"/>
          <w:szCs w:val="28"/>
        </w:rPr>
      </w:pPr>
    </w:p>
    <w:p w:rsidR="0072060A" w:rsidRDefault="0072060A" w:rsidP="0072060A">
      <w:pPr>
        <w:jc w:val="both"/>
        <w:rPr>
          <w:sz w:val="28"/>
          <w:szCs w:val="28"/>
        </w:rPr>
      </w:pPr>
    </w:p>
    <w:p w:rsidR="00B55323" w:rsidRDefault="00ED026A" w:rsidP="00ED0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норм потребления коммунальных </w:t>
      </w:r>
    </w:p>
    <w:p w:rsidR="00B55323" w:rsidRDefault="00B55323" w:rsidP="00ED026A">
      <w:pPr>
        <w:jc w:val="center"/>
      </w:pPr>
      <w:r>
        <w:rPr>
          <w:sz w:val="28"/>
          <w:szCs w:val="28"/>
        </w:rPr>
        <w:t xml:space="preserve">ресурсов </w:t>
      </w:r>
      <w:r w:rsidR="00ED026A">
        <w:rPr>
          <w:sz w:val="28"/>
          <w:szCs w:val="28"/>
        </w:rPr>
        <w:t>муниципальными учреждениями культуры</w:t>
      </w:r>
      <w:r w:rsidR="00ED026A" w:rsidRPr="00082CAA">
        <w:t xml:space="preserve"> </w:t>
      </w:r>
    </w:p>
    <w:p w:rsidR="00ED026A" w:rsidRDefault="00ED026A" w:rsidP="00ED026A">
      <w:pPr>
        <w:jc w:val="center"/>
        <w:rPr>
          <w:sz w:val="28"/>
          <w:szCs w:val="28"/>
        </w:rPr>
      </w:pPr>
      <w:r w:rsidRPr="00082CAA">
        <w:rPr>
          <w:sz w:val="28"/>
          <w:szCs w:val="28"/>
        </w:rPr>
        <w:t>городского округа Зарайск Московской области</w:t>
      </w:r>
    </w:p>
    <w:p w:rsidR="00B55323" w:rsidRDefault="00B55323" w:rsidP="00ED026A">
      <w:pPr>
        <w:jc w:val="center"/>
        <w:rPr>
          <w:sz w:val="28"/>
          <w:szCs w:val="28"/>
        </w:rPr>
      </w:pPr>
    </w:p>
    <w:p w:rsidR="00B55323" w:rsidRDefault="00B55323" w:rsidP="00ED026A">
      <w:pPr>
        <w:jc w:val="center"/>
        <w:rPr>
          <w:sz w:val="28"/>
          <w:szCs w:val="28"/>
        </w:rPr>
      </w:pPr>
    </w:p>
    <w:p w:rsidR="00ED026A" w:rsidRDefault="00B55323" w:rsidP="00ED0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</w:t>
      </w:r>
      <w:r w:rsidR="00ED026A">
        <w:rPr>
          <w:sz w:val="28"/>
          <w:szCs w:val="28"/>
        </w:rPr>
        <w:t xml:space="preserve">едеральным </w:t>
      </w:r>
      <w:r>
        <w:rPr>
          <w:sz w:val="28"/>
          <w:szCs w:val="28"/>
        </w:rPr>
        <w:t xml:space="preserve">законом от 06.10.2003 № </w:t>
      </w:r>
      <w:r w:rsidR="00ED026A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области:</w:t>
      </w:r>
    </w:p>
    <w:p w:rsidR="00ED026A" w:rsidRDefault="00ED026A" w:rsidP="00ED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нормы потребления коммунальных ресурсов при расчете нормативных затрат на оказание муниципальных услуг (выполнение работ) для расчета объемов финансового обеспечения муниципальных заданий муниципальными  учреждениями культуры городского окру</w:t>
      </w:r>
      <w:r w:rsidR="00B55323">
        <w:rPr>
          <w:sz w:val="28"/>
          <w:szCs w:val="28"/>
        </w:rPr>
        <w:t>га Зарайск Московской области (приложение 1</w:t>
      </w:r>
      <w:r>
        <w:rPr>
          <w:sz w:val="28"/>
          <w:szCs w:val="28"/>
        </w:rPr>
        <w:t>).</w:t>
      </w:r>
    </w:p>
    <w:p w:rsidR="00ED026A" w:rsidRDefault="00ED026A" w:rsidP="00ED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402E">
        <w:rPr>
          <w:sz w:val="28"/>
          <w:szCs w:val="28"/>
        </w:rPr>
        <w:t>Утвердить выравнива</w:t>
      </w:r>
      <w:r w:rsidR="00B55323">
        <w:rPr>
          <w:sz w:val="28"/>
          <w:szCs w:val="28"/>
        </w:rPr>
        <w:t>ющие коэффициенты (понижающие/</w:t>
      </w:r>
      <w:r w:rsidRPr="0024402E">
        <w:rPr>
          <w:sz w:val="28"/>
          <w:szCs w:val="28"/>
        </w:rPr>
        <w:t xml:space="preserve">повышающие) для </w:t>
      </w:r>
      <w:r w:rsidRPr="00D23A76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="00347FE5">
        <w:rPr>
          <w:sz w:val="28"/>
          <w:szCs w:val="28"/>
        </w:rPr>
        <w:t xml:space="preserve"> </w:t>
      </w:r>
      <w:r w:rsidRPr="00D23A76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D23A76">
        <w:rPr>
          <w:sz w:val="28"/>
          <w:szCs w:val="28"/>
        </w:rPr>
        <w:t xml:space="preserve"> культуры </w:t>
      </w:r>
      <w:r w:rsidR="00B55323">
        <w:rPr>
          <w:sz w:val="28"/>
          <w:szCs w:val="28"/>
        </w:rPr>
        <w:t xml:space="preserve">городского округа Зарайск               (приложение </w:t>
      </w:r>
      <w:r w:rsidRPr="0024402E">
        <w:rPr>
          <w:sz w:val="28"/>
          <w:szCs w:val="28"/>
        </w:rPr>
        <w:t>2).</w:t>
      </w:r>
    </w:p>
    <w:p w:rsidR="00ED026A" w:rsidRDefault="00ED026A" w:rsidP="00ED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главы городского округа Зарайск Московской области от 18.06.2018 № 311 «Об установлении норм потребления коммунальных ресурсов муниципальными учреждениями культуры городского округа Зарайск».</w:t>
      </w:r>
    </w:p>
    <w:p w:rsidR="00ED026A" w:rsidRDefault="00ED026A" w:rsidP="00ED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670E0E">
        <w:rPr>
          <w:sz w:val="28"/>
          <w:szCs w:val="28"/>
        </w:rPr>
        <w:t xml:space="preserve">астоящее распоряжение </w:t>
      </w:r>
      <w:r>
        <w:rPr>
          <w:sz w:val="28"/>
          <w:szCs w:val="28"/>
        </w:rPr>
        <w:t xml:space="preserve">разместить на официальном сайте администрации </w:t>
      </w:r>
      <w:r w:rsidRPr="00670E0E">
        <w:rPr>
          <w:sz w:val="28"/>
          <w:szCs w:val="28"/>
        </w:rPr>
        <w:t>городского округа Зарайск Московской области</w:t>
      </w:r>
      <w:r>
        <w:rPr>
          <w:sz w:val="28"/>
          <w:szCs w:val="28"/>
        </w:rPr>
        <w:t>.</w:t>
      </w:r>
    </w:p>
    <w:p w:rsidR="00B55323" w:rsidRDefault="00B55323" w:rsidP="00ED026A">
      <w:pPr>
        <w:jc w:val="both"/>
        <w:rPr>
          <w:sz w:val="27"/>
          <w:szCs w:val="27"/>
        </w:rPr>
      </w:pPr>
    </w:p>
    <w:p w:rsidR="00684576" w:rsidRDefault="00684576" w:rsidP="00ED026A">
      <w:pPr>
        <w:jc w:val="both"/>
        <w:rPr>
          <w:sz w:val="27"/>
          <w:szCs w:val="27"/>
        </w:rPr>
      </w:pPr>
    </w:p>
    <w:p w:rsidR="00ED026A" w:rsidRPr="003A61AC" w:rsidRDefault="00B55323" w:rsidP="00ED026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55323" w:rsidRPr="0006520C" w:rsidRDefault="00B55323" w:rsidP="00B55323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 xml:space="preserve">Глава городского округа В.А. Петрущенко    </w:t>
      </w:r>
    </w:p>
    <w:p w:rsidR="00B55323" w:rsidRPr="0006520C" w:rsidRDefault="00B55323" w:rsidP="00B55323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>Верно</w:t>
      </w:r>
    </w:p>
    <w:p w:rsidR="00B55323" w:rsidRPr="0006520C" w:rsidRDefault="00B55323" w:rsidP="00B55323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Pr="0006520C">
        <w:rPr>
          <w:sz w:val="27"/>
          <w:szCs w:val="28"/>
        </w:rPr>
        <w:t xml:space="preserve"> общего отдела                                            </w:t>
      </w:r>
      <w:r>
        <w:rPr>
          <w:sz w:val="27"/>
          <w:szCs w:val="28"/>
        </w:rPr>
        <w:t xml:space="preserve">                                        Л.Б. Ивлева</w:t>
      </w:r>
    </w:p>
    <w:p w:rsidR="00B55323" w:rsidRPr="0006520C" w:rsidRDefault="00B55323" w:rsidP="00B55323">
      <w:pPr>
        <w:jc w:val="both"/>
        <w:rPr>
          <w:sz w:val="27"/>
          <w:szCs w:val="28"/>
        </w:rPr>
      </w:pPr>
      <w:r>
        <w:rPr>
          <w:sz w:val="27"/>
          <w:szCs w:val="28"/>
        </w:rPr>
        <w:t>30</w:t>
      </w:r>
      <w:r w:rsidRPr="0006520C">
        <w:rPr>
          <w:sz w:val="27"/>
          <w:szCs w:val="28"/>
        </w:rPr>
        <w:t xml:space="preserve">.12.2021 </w:t>
      </w:r>
    </w:p>
    <w:p w:rsidR="00B55323" w:rsidRPr="00DB38AC" w:rsidRDefault="00B55323" w:rsidP="00B553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323" w:rsidRPr="00DB38AC" w:rsidRDefault="00B55323" w:rsidP="00B553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026A" w:rsidRPr="003A61AC" w:rsidRDefault="00B55323" w:rsidP="00ED026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ED026A" w:rsidRDefault="00ED026A" w:rsidP="00ED026A">
      <w:pPr>
        <w:jc w:val="both"/>
        <w:rPr>
          <w:sz w:val="27"/>
          <w:szCs w:val="27"/>
        </w:rPr>
      </w:pPr>
    </w:p>
    <w:p w:rsidR="00ED026A" w:rsidRPr="005D7315" w:rsidRDefault="00684576" w:rsidP="00ED026A">
      <w:pPr>
        <w:jc w:val="both"/>
        <w:rPr>
          <w:sz w:val="20"/>
          <w:szCs w:val="20"/>
        </w:rPr>
      </w:pPr>
      <w:r>
        <w:rPr>
          <w:sz w:val="27"/>
          <w:szCs w:val="27"/>
        </w:rPr>
        <w:t xml:space="preserve"> </w:t>
      </w:r>
    </w:p>
    <w:p w:rsidR="00ED026A" w:rsidRDefault="00ED026A" w:rsidP="00ED026A">
      <w:pPr>
        <w:ind w:firstLine="709"/>
        <w:jc w:val="right"/>
        <w:rPr>
          <w:sz w:val="28"/>
          <w:szCs w:val="28"/>
        </w:rPr>
      </w:pPr>
    </w:p>
    <w:p w:rsidR="00DB38AC" w:rsidRPr="00DB38AC" w:rsidRDefault="00E37561" w:rsidP="00DB3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2060A" w:rsidRDefault="0072060A" w:rsidP="007206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0405" w:rsidRPr="00B55323" w:rsidRDefault="004C67CD" w:rsidP="00B55323">
      <w:pPr>
        <w:tabs>
          <w:tab w:val="left" w:pos="8322"/>
        </w:tabs>
        <w:ind w:firstLine="709"/>
        <w:jc w:val="both"/>
        <w:rPr>
          <w:b/>
          <w:sz w:val="27"/>
          <w:szCs w:val="28"/>
        </w:rPr>
      </w:pPr>
      <w:r w:rsidRPr="0006520C">
        <w:rPr>
          <w:sz w:val="27"/>
          <w:szCs w:val="28"/>
        </w:rPr>
        <w:t xml:space="preserve">                         </w:t>
      </w:r>
      <w:r w:rsidR="001D0405" w:rsidRPr="0006520C">
        <w:rPr>
          <w:sz w:val="27"/>
          <w:szCs w:val="28"/>
        </w:rPr>
        <w:t xml:space="preserve">                          </w:t>
      </w:r>
    </w:p>
    <w:p w:rsidR="001D0405" w:rsidRPr="0006520C" w:rsidRDefault="001D0405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>СОГЛАСОВАНО</w:t>
      </w:r>
    </w:p>
    <w:p w:rsidR="001D0405" w:rsidRPr="00DB38AC" w:rsidRDefault="00DB38AC" w:rsidP="00DB38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8AC">
        <w:rPr>
          <w:sz w:val="28"/>
          <w:szCs w:val="28"/>
        </w:rPr>
        <w:t xml:space="preserve">Первый заместитель главы администрации </w:t>
      </w:r>
      <w:r>
        <w:rPr>
          <w:sz w:val="27"/>
          <w:szCs w:val="28"/>
        </w:rPr>
        <w:t xml:space="preserve"> </w:t>
      </w:r>
    </w:p>
    <w:p w:rsidR="001D0405" w:rsidRDefault="001D0405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 xml:space="preserve">__________________________ </w:t>
      </w:r>
      <w:r w:rsidR="00DB38AC">
        <w:rPr>
          <w:sz w:val="27"/>
          <w:szCs w:val="28"/>
        </w:rPr>
        <w:t xml:space="preserve">Л.А. </w:t>
      </w:r>
      <w:proofErr w:type="spellStart"/>
      <w:r w:rsidR="00DB38AC">
        <w:rPr>
          <w:sz w:val="27"/>
          <w:szCs w:val="28"/>
        </w:rPr>
        <w:t>Кочергаева</w:t>
      </w:r>
      <w:proofErr w:type="spellEnd"/>
    </w:p>
    <w:p w:rsidR="00127B12" w:rsidRDefault="00B55323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>30</w:t>
      </w:r>
      <w:r w:rsidR="00127B12">
        <w:rPr>
          <w:sz w:val="27"/>
          <w:szCs w:val="28"/>
        </w:rPr>
        <w:t>.12.2021</w:t>
      </w:r>
    </w:p>
    <w:p w:rsidR="00B55323" w:rsidRDefault="00B55323" w:rsidP="00B5532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по культуре, физической культуре, </w:t>
      </w:r>
    </w:p>
    <w:p w:rsidR="00B55323" w:rsidRDefault="00B55323" w:rsidP="00B55323">
      <w:pPr>
        <w:jc w:val="both"/>
        <w:rPr>
          <w:sz w:val="27"/>
          <w:szCs w:val="27"/>
        </w:rPr>
      </w:pPr>
      <w:r>
        <w:rPr>
          <w:sz w:val="27"/>
          <w:szCs w:val="27"/>
        </w:rPr>
        <w:t>спорту, работе с детьми и молодёжью</w:t>
      </w:r>
    </w:p>
    <w:p w:rsidR="00127B12" w:rsidRPr="00B55323" w:rsidRDefault="00B55323" w:rsidP="0006520C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 О.Е. Маркова</w:t>
      </w:r>
      <w:r>
        <w:rPr>
          <w:sz w:val="28"/>
          <w:szCs w:val="28"/>
        </w:rPr>
        <w:t xml:space="preserve"> </w:t>
      </w:r>
    </w:p>
    <w:p w:rsidR="00684576" w:rsidRPr="00684576" w:rsidRDefault="00B55323" w:rsidP="00684576">
      <w:pPr>
        <w:jc w:val="both"/>
        <w:rPr>
          <w:sz w:val="27"/>
          <w:szCs w:val="28"/>
        </w:rPr>
      </w:pPr>
      <w:r>
        <w:rPr>
          <w:sz w:val="27"/>
          <w:szCs w:val="28"/>
        </w:rPr>
        <w:t>30</w:t>
      </w:r>
      <w:r w:rsidR="001D0405" w:rsidRPr="0006520C">
        <w:rPr>
          <w:sz w:val="27"/>
          <w:szCs w:val="28"/>
        </w:rPr>
        <w:t>.12.2021</w:t>
      </w:r>
    </w:p>
    <w:p w:rsidR="00684576" w:rsidRDefault="00684576" w:rsidP="0068457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684576" w:rsidRDefault="00684576" w:rsidP="006845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Л.А. Круглова</w:t>
      </w:r>
    </w:p>
    <w:p w:rsidR="00684576" w:rsidRDefault="00684576" w:rsidP="00684576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</w:p>
    <w:p w:rsidR="00684576" w:rsidRDefault="00684576" w:rsidP="0068457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84576" w:rsidRDefault="00684576" w:rsidP="0068457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405" w:rsidRPr="0006520C" w:rsidRDefault="00684576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D0405" w:rsidRPr="0006520C" w:rsidRDefault="001D0405" w:rsidP="0006520C">
      <w:pPr>
        <w:pStyle w:val="a6"/>
        <w:rPr>
          <w:sz w:val="27"/>
          <w:szCs w:val="28"/>
        </w:rPr>
      </w:pPr>
      <w:r w:rsidRPr="0006520C">
        <w:rPr>
          <w:sz w:val="27"/>
          <w:szCs w:val="28"/>
        </w:rPr>
        <w:t xml:space="preserve"> </w:t>
      </w:r>
    </w:p>
    <w:p w:rsidR="004B79DD" w:rsidRPr="0006520C" w:rsidRDefault="004B79DD" w:rsidP="0006520C">
      <w:pPr>
        <w:pStyle w:val="a6"/>
        <w:rPr>
          <w:sz w:val="27"/>
          <w:szCs w:val="28"/>
        </w:rPr>
      </w:pPr>
    </w:p>
    <w:p w:rsidR="004C67CD" w:rsidRDefault="00B55323" w:rsidP="004C67CD">
      <w:pPr>
        <w:pStyle w:val="a6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E37561" w:rsidRDefault="00E37561" w:rsidP="00E375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 w:rsidRPr="00DB38AC">
        <w:rPr>
          <w:sz w:val="28"/>
          <w:szCs w:val="28"/>
        </w:rPr>
        <w:t>Кочергаевой</w:t>
      </w:r>
      <w:proofErr w:type="spellEnd"/>
      <w:r w:rsidRPr="00DB38AC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, </w:t>
      </w:r>
      <w:r w:rsidR="00B55323">
        <w:rPr>
          <w:sz w:val="27"/>
          <w:szCs w:val="27"/>
        </w:rPr>
        <w:t>Александрову И.В.</w:t>
      </w:r>
      <w:r w:rsidR="00B55323" w:rsidRPr="003A61AC">
        <w:rPr>
          <w:sz w:val="27"/>
          <w:szCs w:val="27"/>
        </w:rPr>
        <w:t>, ОЭ</w:t>
      </w:r>
      <w:r w:rsidR="00B55323">
        <w:rPr>
          <w:sz w:val="27"/>
          <w:szCs w:val="27"/>
        </w:rPr>
        <w:t xml:space="preserve"> </w:t>
      </w:r>
      <w:r w:rsidR="00B55323" w:rsidRPr="003A61AC">
        <w:rPr>
          <w:sz w:val="27"/>
          <w:szCs w:val="27"/>
        </w:rPr>
        <w:t>и</w:t>
      </w:r>
      <w:r w:rsidR="00B55323">
        <w:rPr>
          <w:sz w:val="27"/>
          <w:szCs w:val="27"/>
        </w:rPr>
        <w:t xml:space="preserve"> </w:t>
      </w:r>
      <w:proofErr w:type="spellStart"/>
      <w:r w:rsidR="00B55323" w:rsidRPr="003A61AC">
        <w:rPr>
          <w:sz w:val="27"/>
          <w:szCs w:val="27"/>
        </w:rPr>
        <w:t>И</w:t>
      </w:r>
      <w:proofErr w:type="spellEnd"/>
      <w:r w:rsidR="00B55323" w:rsidRPr="003A61AC">
        <w:rPr>
          <w:sz w:val="27"/>
          <w:szCs w:val="27"/>
        </w:rPr>
        <w:t xml:space="preserve">, </w:t>
      </w:r>
      <w:r w:rsidR="00B55323">
        <w:rPr>
          <w:sz w:val="27"/>
          <w:szCs w:val="27"/>
        </w:rPr>
        <w:t>ОЖКХ</w:t>
      </w:r>
      <w:r w:rsidR="00B55323" w:rsidRPr="003A61AC">
        <w:rPr>
          <w:sz w:val="27"/>
          <w:szCs w:val="27"/>
        </w:rPr>
        <w:t xml:space="preserve">, </w:t>
      </w:r>
      <w:r w:rsidR="00B55323">
        <w:rPr>
          <w:sz w:val="27"/>
          <w:szCs w:val="27"/>
        </w:rPr>
        <w:t>СВ со СМИ, к</w:t>
      </w:r>
      <w:r w:rsidR="00B55323" w:rsidRPr="003A61AC">
        <w:rPr>
          <w:sz w:val="27"/>
          <w:szCs w:val="27"/>
        </w:rPr>
        <w:t>омитет по КФКС</w:t>
      </w:r>
      <w:r w:rsidR="00B55323">
        <w:rPr>
          <w:sz w:val="27"/>
          <w:szCs w:val="27"/>
        </w:rPr>
        <w:t>Р с</w:t>
      </w:r>
      <w:proofErr w:type="gramStart"/>
      <w:r w:rsidR="00B55323">
        <w:rPr>
          <w:sz w:val="27"/>
          <w:szCs w:val="27"/>
        </w:rPr>
        <w:t xml:space="preserve"> Д</w:t>
      </w:r>
      <w:proofErr w:type="gramEnd"/>
      <w:r w:rsidR="00B55323">
        <w:rPr>
          <w:sz w:val="27"/>
          <w:szCs w:val="27"/>
        </w:rPr>
        <w:t xml:space="preserve"> и М</w:t>
      </w:r>
      <w:r w:rsidR="00B55323" w:rsidRPr="003A61AC">
        <w:rPr>
          <w:sz w:val="27"/>
          <w:szCs w:val="27"/>
        </w:rPr>
        <w:t>, МКУ ЦБ</w:t>
      </w:r>
      <w:r w:rsidR="00B55323">
        <w:rPr>
          <w:sz w:val="27"/>
          <w:szCs w:val="27"/>
        </w:rPr>
        <w:t>,</w:t>
      </w:r>
      <w:r w:rsidR="00B55323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прокуратура</w:t>
      </w:r>
      <w:r w:rsidRPr="00DB38AC">
        <w:rPr>
          <w:sz w:val="28"/>
          <w:szCs w:val="28"/>
        </w:rPr>
        <w:t>.</w:t>
      </w:r>
    </w:p>
    <w:p w:rsidR="00E37561" w:rsidRDefault="00E37561" w:rsidP="00E37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61" w:rsidRPr="00DB38AC" w:rsidRDefault="00E37561" w:rsidP="00E375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E37561" w:rsidRPr="00DB38AC" w:rsidRDefault="00E37561" w:rsidP="00E37561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8 496 66 </w:t>
      </w:r>
      <w:r w:rsidRPr="00DB38AC">
        <w:rPr>
          <w:bCs/>
          <w:sz w:val="28"/>
          <w:szCs w:val="28"/>
        </w:rPr>
        <w:t>2-</w:t>
      </w:r>
      <w:r>
        <w:rPr>
          <w:bCs/>
          <w:sz w:val="28"/>
          <w:szCs w:val="28"/>
        </w:rPr>
        <w:t>63-23</w:t>
      </w: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684576" w:rsidRDefault="00684576" w:rsidP="004C67CD">
      <w:pPr>
        <w:pStyle w:val="a6"/>
        <w:rPr>
          <w:sz w:val="28"/>
          <w:szCs w:val="28"/>
        </w:rPr>
      </w:pPr>
    </w:p>
    <w:p w:rsidR="00684576" w:rsidRDefault="00684576" w:rsidP="004C67CD">
      <w:pPr>
        <w:pStyle w:val="a6"/>
        <w:rPr>
          <w:sz w:val="28"/>
          <w:szCs w:val="28"/>
        </w:rPr>
      </w:pPr>
    </w:p>
    <w:p w:rsidR="00684576" w:rsidRDefault="00684576" w:rsidP="004C67CD">
      <w:pPr>
        <w:pStyle w:val="a6"/>
        <w:rPr>
          <w:sz w:val="28"/>
          <w:szCs w:val="28"/>
        </w:rPr>
      </w:pPr>
    </w:p>
    <w:p w:rsidR="00684576" w:rsidRDefault="00684576" w:rsidP="004C67CD">
      <w:pPr>
        <w:pStyle w:val="a6"/>
        <w:rPr>
          <w:sz w:val="28"/>
          <w:szCs w:val="28"/>
        </w:rPr>
      </w:pPr>
    </w:p>
    <w:p w:rsidR="00684576" w:rsidRDefault="00684576" w:rsidP="004C67CD">
      <w:pPr>
        <w:pStyle w:val="a6"/>
        <w:rPr>
          <w:sz w:val="28"/>
          <w:szCs w:val="28"/>
        </w:rPr>
      </w:pPr>
    </w:p>
    <w:p w:rsidR="00684576" w:rsidRDefault="00684576" w:rsidP="004C67CD">
      <w:pPr>
        <w:pStyle w:val="a6"/>
        <w:rPr>
          <w:sz w:val="28"/>
          <w:szCs w:val="28"/>
        </w:rPr>
      </w:pPr>
    </w:p>
    <w:p w:rsidR="00684576" w:rsidRDefault="00684576" w:rsidP="004C67CD">
      <w:pPr>
        <w:pStyle w:val="a6"/>
        <w:rPr>
          <w:sz w:val="28"/>
          <w:szCs w:val="28"/>
        </w:rPr>
      </w:pPr>
    </w:p>
    <w:p w:rsidR="00684576" w:rsidRDefault="00684576" w:rsidP="004C67CD">
      <w:pPr>
        <w:pStyle w:val="a6"/>
        <w:rPr>
          <w:sz w:val="28"/>
          <w:szCs w:val="28"/>
        </w:rPr>
      </w:pPr>
    </w:p>
    <w:p w:rsidR="00684576" w:rsidRDefault="00684576" w:rsidP="004C67CD">
      <w:pPr>
        <w:pStyle w:val="a6"/>
        <w:rPr>
          <w:sz w:val="28"/>
          <w:szCs w:val="28"/>
        </w:rPr>
      </w:pPr>
    </w:p>
    <w:p w:rsidR="00684576" w:rsidRDefault="00684576" w:rsidP="004C67CD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684576" w:rsidRDefault="00684576" w:rsidP="004C67CD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684576" w:rsidRDefault="00684576" w:rsidP="004C67CD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684576" w:rsidRDefault="00684576" w:rsidP="004C67CD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684576" w:rsidRDefault="00684576" w:rsidP="004C67CD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30.12.2021 № 487</w:t>
      </w: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ED026A" w:rsidRDefault="004C67CD" w:rsidP="00ED026A">
      <w:pPr>
        <w:ind w:firstLine="709"/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  <w:r w:rsidR="00ED026A">
        <w:rPr>
          <w:sz w:val="28"/>
          <w:szCs w:val="28"/>
        </w:rPr>
        <w:t>Нормы потребления коммунальных ресурсов муниципальными учреждениями культуры городского округа Зарайск Московской области</w:t>
      </w:r>
    </w:p>
    <w:p w:rsidR="00ED026A" w:rsidRDefault="00ED026A" w:rsidP="00ED026A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774" w:type="dxa"/>
        <w:tblInd w:w="-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659"/>
        <w:gridCol w:w="1460"/>
        <w:gridCol w:w="1417"/>
        <w:gridCol w:w="1418"/>
        <w:gridCol w:w="1559"/>
      </w:tblGrid>
      <w:tr w:rsidR="00ED026A" w:rsidRPr="00670E0E" w:rsidTr="004C5607">
        <w:trPr>
          <w:trHeight w:hRule="exact" w:val="680"/>
        </w:trPr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spacing w:before="56" w:line="246" w:lineRule="auto"/>
              <w:ind w:left="327" w:right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а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м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ен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ова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е</w:t>
            </w:r>
            <w:r w:rsidRPr="00670E0E">
              <w:rPr>
                <w:rFonts w:eastAsia="Calibri"/>
                <w:spacing w:val="3"/>
                <w:sz w:val="28"/>
                <w:szCs w:val="28"/>
                <w:lang w:eastAsia="zh-CN"/>
              </w:rPr>
              <w:t xml:space="preserve"> 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объ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ект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ов со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ци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ал</w:t>
            </w:r>
            <w:r w:rsidRPr="00670E0E">
              <w:rPr>
                <w:rFonts w:eastAsia="Calibri"/>
                <w:spacing w:val="2"/>
                <w:sz w:val="28"/>
                <w:szCs w:val="28"/>
                <w:lang w:eastAsia="zh-CN"/>
              </w:rPr>
              <w:t>ь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ой</w:t>
            </w:r>
            <w:r w:rsidRPr="00670E0E">
              <w:rPr>
                <w:rFonts w:eastAsia="Calibri"/>
                <w:spacing w:val="3"/>
                <w:sz w:val="28"/>
                <w:szCs w:val="28"/>
                <w:lang w:eastAsia="zh-CN"/>
              </w:rPr>
              <w:t xml:space="preserve"> 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сфе</w:t>
            </w:r>
            <w:r w:rsidRPr="00670E0E">
              <w:rPr>
                <w:rFonts w:eastAsia="Calibri"/>
                <w:spacing w:val="-2"/>
                <w:sz w:val="28"/>
                <w:szCs w:val="28"/>
                <w:lang w:eastAsia="zh-CN"/>
              </w:rPr>
              <w:t>р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ы</w:t>
            </w:r>
          </w:p>
        </w:tc>
        <w:tc>
          <w:tcPr>
            <w:tcW w:w="1659" w:type="dxa"/>
            <w:vMerge w:val="restart"/>
            <w:tcBorders>
              <w:top w:val="single" w:sz="1" w:space="0" w:color="000000"/>
              <w:left w:val="single" w:sz="1" w:space="0" w:color="000000"/>
              <w:right w:val="nil"/>
            </w:tcBorders>
          </w:tcPr>
          <w:p w:rsidR="00ED026A" w:rsidRDefault="00ED026A" w:rsidP="004C5607">
            <w:pPr>
              <w:suppressAutoHyphens/>
              <w:spacing w:before="56" w:line="246" w:lineRule="auto"/>
              <w:ind w:left="90" w:right="86" w:hanging="3"/>
              <w:jc w:val="center"/>
              <w:rPr>
                <w:rFonts w:eastAsia="Calibri"/>
                <w:spacing w:val="-1"/>
                <w:sz w:val="28"/>
                <w:szCs w:val="28"/>
                <w:lang w:eastAsia="zh-CN"/>
              </w:rPr>
            </w:pPr>
            <w:proofErr w:type="gramStart"/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Е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д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и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и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>ц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а 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из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м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е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ре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я (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к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роме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 xml:space="preserve"> </w:t>
            </w:r>
            <w:proofErr w:type="gramEnd"/>
          </w:p>
          <w:p w:rsidR="00ED026A" w:rsidRPr="00670E0E" w:rsidRDefault="00ED026A" w:rsidP="004C5607">
            <w:pPr>
              <w:suppressAutoHyphens/>
              <w:spacing w:before="56" w:line="246" w:lineRule="auto"/>
              <w:ind w:left="90" w:right="86" w:hanging="3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г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ра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ф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ы 6)</w:t>
            </w:r>
          </w:p>
        </w:tc>
        <w:tc>
          <w:tcPr>
            <w:tcW w:w="5854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spacing w:before="56" w:line="246" w:lineRule="auto"/>
              <w:ind w:left="1979" w:right="492" w:hanging="1446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ор</w:t>
            </w:r>
            <w:r w:rsidRPr="00670E0E">
              <w:rPr>
                <w:rFonts w:eastAsia="Calibri"/>
                <w:spacing w:val="-2"/>
                <w:sz w:val="28"/>
                <w:szCs w:val="28"/>
                <w:lang w:eastAsia="zh-CN"/>
              </w:rPr>
              <w:t>м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ы  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п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т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ребл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>е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>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я 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 xml:space="preserve"> 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к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омм</w:t>
            </w:r>
            <w:r w:rsidRPr="00670E0E">
              <w:rPr>
                <w:rFonts w:eastAsia="Calibri"/>
                <w:spacing w:val="-6"/>
                <w:sz w:val="28"/>
                <w:szCs w:val="28"/>
                <w:lang w:eastAsia="zh-CN"/>
              </w:rPr>
              <w:t>у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аль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>ы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х р</w:t>
            </w:r>
            <w:r w:rsidRPr="00670E0E">
              <w:rPr>
                <w:rFonts w:eastAsia="Calibri"/>
                <w:spacing w:val="-3"/>
                <w:sz w:val="28"/>
                <w:szCs w:val="28"/>
                <w:lang w:eastAsia="zh-CN"/>
              </w:rPr>
              <w:t>е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с</w:t>
            </w:r>
            <w:r w:rsidRPr="00670E0E">
              <w:rPr>
                <w:rFonts w:eastAsia="Calibri"/>
                <w:spacing w:val="-6"/>
                <w:sz w:val="28"/>
                <w:szCs w:val="28"/>
                <w:lang w:eastAsia="zh-CN"/>
              </w:rPr>
              <w:t>у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рс</w:t>
            </w:r>
            <w:r w:rsidRPr="00670E0E">
              <w:rPr>
                <w:rFonts w:eastAsia="Calibri"/>
                <w:spacing w:val="-2"/>
                <w:sz w:val="28"/>
                <w:szCs w:val="28"/>
                <w:lang w:eastAsia="zh-CN"/>
              </w:rPr>
              <w:t>о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в</w:t>
            </w:r>
          </w:p>
        </w:tc>
      </w:tr>
      <w:tr w:rsidR="00ED026A" w:rsidRPr="00670E0E" w:rsidTr="004C5607">
        <w:trPr>
          <w:trHeight w:hRule="exact" w:val="1100"/>
        </w:trPr>
        <w:tc>
          <w:tcPr>
            <w:tcW w:w="326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right w:val="nil"/>
            </w:tcBorders>
          </w:tcPr>
          <w:p w:rsidR="00ED026A" w:rsidRPr="00670E0E" w:rsidRDefault="00ED026A" w:rsidP="004C5607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gridSpan w:val="2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spacing w:before="57" w:line="246" w:lineRule="auto"/>
              <w:ind w:left="83" w:right="40" w:firstLine="226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pacing w:val="-2"/>
                <w:sz w:val="28"/>
                <w:szCs w:val="28"/>
                <w:lang w:eastAsia="zh-CN"/>
              </w:rPr>
              <w:t>В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одо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сн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абже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е</w:t>
            </w:r>
            <w:r w:rsidRPr="00670E0E">
              <w:rPr>
                <w:rFonts w:eastAsia="Calibri"/>
                <w:spacing w:val="3"/>
                <w:sz w:val="28"/>
                <w:szCs w:val="28"/>
                <w:lang w:eastAsia="zh-CN"/>
              </w:rPr>
              <w:t xml:space="preserve"> 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и водоо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т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вед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ени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е,</w:t>
            </w:r>
            <w:r w:rsidRPr="00670E0E">
              <w:rPr>
                <w:rFonts w:eastAsia="Calibri"/>
                <w:spacing w:val="2"/>
                <w:sz w:val="28"/>
                <w:szCs w:val="28"/>
                <w:lang w:eastAsia="zh-CN"/>
              </w:rPr>
              <w:t xml:space="preserve"> 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>м</w:t>
            </w:r>
            <w:r w:rsidRPr="00670E0E">
              <w:rPr>
                <w:rFonts w:eastAsia="Calibri"/>
                <w:position w:val="9"/>
                <w:sz w:val="28"/>
                <w:szCs w:val="28"/>
                <w:lang w:eastAsia="zh-CN"/>
              </w:rPr>
              <w:t>3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/г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од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spacing w:before="57"/>
              <w:ind w:left="355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Т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е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п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лос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абж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>е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е</w:t>
            </w:r>
          </w:p>
        </w:tc>
      </w:tr>
      <w:tr w:rsidR="00ED026A" w:rsidRPr="00670E0E" w:rsidTr="004C5607">
        <w:trPr>
          <w:trHeight w:hRule="exact" w:val="1532"/>
        </w:trPr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1" w:space="0" w:color="000000"/>
              <w:bottom w:val="single" w:sz="1" w:space="0" w:color="000000"/>
              <w:right w:val="nil"/>
            </w:tcBorders>
          </w:tcPr>
          <w:p w:rsidR="00ED026A" w:rsidRPr="00670E0E" w:rsidRDefault="00ED026A" w:rsidP="004C5607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spacing w:before="57" w:line="246" w:lineRule="auto"/>
              <w:ind w:left="81" w:right="37" w:firstLine="250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z w:val="28"/>
                <w:szCs w:val="28"/>
                <w:lang w:eastAsia="zh-CN"/>
              </w:rPr>
              <w:t>Вод</w:t>
            </w:r>
            <w:proofErr w:type="gramStart"/>
            <w:r w:rsidRPr="00670E0E">
              <w:rPr>
                <w:rFonts w:eastAsia="Calibri"/>
                <w:spacing w:val="-2"/>
                <w:sz w:val="28"/>
                <w:szCs w:val="28"/>
                <w:lang w:eastAsia="zh-CN"/>
              </w:rPr>
              <w:t>о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-</w:t>
            </w:r>
            <w:proofErr w:type="gramEnd"/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 с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абже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spacing w:before="57" w:line="246" w:lineRule="auto"/>
              <w:ind w:left="65" w:right="23" w:firstLine="220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pacing w:val="-2"/>
                <w:sz w:val="28"/>
                <w:szCs w:val="28"/>
                <w:lang w:eastAsia="zh-CN"/>
              </w:rPr>
              <w:t>В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од</w:t>
            </w:r>
            <w:proofErr w:type="gramStart"/>
            <w:r w:rsidRPr="00670E0E">
              <w:rPr>
                <w:rFonts w:eastAsia="Calibri"/>
                <w:sz w:val="28"/>
                <w:szCs w:val="28"/>
                <w:lang w:eastAsia="zh-CN"/>
              </w:rPr>
              <w:t>о-</w:t>
            </w:r>
            <w:proofErr w:type="gramEnd"/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 о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т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вед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ени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spacing w:before="57" w:line="246" w:lineRule="auto"/>
              <w:ind w:left="38" w:right="34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Г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оря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ч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ее </w:t>
            </w:r>
            <w:proofErr w:type="spellStart"/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в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одо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сн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а</w:t>
            </w:r>
            <w:proofErr w:type="gramStart"/>
            <w:r w:rsidRPr="00670E0E">
              <w:rPr>
                <w:rFonts w:eastAsia="Calibri"/>
                <w:sz w:val="28"/>
                <w:szCs w:val="28"/>
                <w:lang w:eastAsia="zh-CN"/>
              </w:rPr>
              <w:t>б</w:t>
            </w:r>
            <w:proofErr w:type="spellEnd"/>
            <w:r w:rsidRPr="00670E0E">
              <w:rPr>
                <w:rFonts w:eastAsia="Calibri"/>
                <w:sz w:val="28"/>
                <w:szCs w:val="28"/>
                <w:lang w:eastAsia="zh-CN"/>
              </w:rPr>
              <w:t>-</w:t>
            </w:r>
            <w:proofErr w:type="gramEnd"/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0E0E">
              <w:rPr>
                <w:rFonts w:eastAsia="Calibri"/>
                <w:sz w:val="28"/>
                <w:szCs w:val="28"/>
                <w:lang w:eastAsia="zh-CN"/>
              </w:rPr>
              <w:t>же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ни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е</w:t>
            </w:r>
            <w:proofErr w:type="spellEnd"/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, 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Гк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ал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/г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spacing w:before="57" w:line="246" w:lineRule="auto"/>
              <w:ind w:left="40" w:right="39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z w:val="28"/>
                <w:szCs w:val="28"/>
                <w:lang w:eastAsia="zh-CN"/>
              </w:rPr>
              <w:t>О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т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п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ле</w:t>
            </w:r>
            <w:r w:rsidRPr="00670E0E">
              <w:rPr>
                <w:rFonts w:eastAsia="Calibri"/>
                <w:spacing w:val="1"/>
                <w:sz w:val="28"/>
                <w:szCs w:val="28"/>
                <w:lang w:eastAsia="zh-CN"/>
              </w:rPr>
              <w:t>н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и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е, 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Гк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а</w:t>
            </w:r>
            <w:r w:rsidRPr="00670E0E">
              <w:rPr>
                <w:rFonts w:eastAsia="Calibri"/>
                <w:spacing w:val="2"/>
                <w:sz w:val="28"/>
                <w:szCs w:val="28"/>
                <w:lang w:eastAsia="zh-CN"/>
              </w:rPr>
              <w:t>л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/</w:t>
            </w:r>
            <w:r w:rsidRPr="00670E0E">
              <w:rPr>
                <w:rFonts w:eastAsia="Calibri"/>
                <w:spacing w:val="2"/>
                <w:sz w:val="28"/>
                <w:szCs w:val="28"/>
                <w:lang w:eastAsia="zh-CN"/>
              </w:rPr>
              <w:t>м</w:t>
            </w:r>
            <w:proofErr w:type="gramStart"/>
            <w:r w:rsidRPr="00670E0E">
              <w:rPr>
                <w:rFonts w:eastAsia="Calibri"/>
                <w:position w:val="9"/>
                <w:sz w:val="28"/>
                <w:szCs w:val="28"/>
                <w:lang w:eastAsia="zh-CN"/>
              </w:rPr>
              <w:t>2</w:t>
            </w:r>
            <w:proofErr w:type="gramEnd"/>
            <w:r w:rsidRPr="00670E0E">
              <w:rPr>
                <w:rFonts w:eastAsia="Calibri"/>
                <w:position w:val="9"/>
                <w:sz w:val="28"/>
                <w:szCs w:val="28"/>
                <w:lang w:eastAsia="zh-CN"/>
              </w:rPr>
              <w:t xml:space="preserve"> 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об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щ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ей 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п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ло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щ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ади</w:t>
            </w:r>
          </w:p>
          <w:p w:rsidR="00ED026A" w:rsidRPr="00670E0E" w:rsidRDefault="00ED026A" w:rsidP="004C5607">
            <w:pPr>
              <w:suppressAutoHyphens/>
              <w:ind w:left="355" w:right="351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z w:val="28"/>
                <w:szCs w:val="28"/>
                <w:lang w:eastAsia="zh-CN"/>
              </w:rPr>
              <w:t xml:space="preserve">в </w:t>
            </w: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г</w:t>
            </w:r>
            <w:r w:rsidRPr="00670E0E">
              <w:rPr>
                <w:rFonts w:eastAsia="Calibri"/>
                <w:sz w:val="28"/>
                <w:szCs w:val="28"/>
                <w:lang w:eastAsia="zh-CN"/>
              </w:rPr>
              <w:t>од</w:t>
            </w:r>
          </w:p>
        </w:tc>
      </w:tr>
      <w:tr w:rsidR="00ED026A" w:rsidRPr="00670E0E" w:rsidTr="004C5607">
        <w:trPr>
          <w:trHeight w:hRule="exact" w:val="363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nil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spacing w:before="57" w:line="246" w:lineRule="auto"/>
              <w:ind w:left="81" w:right="37" w:firstLine="25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spacing w:before="57" w:line="246" w:lineRule="auto"/>
              <w:ind w:left="65" w:right="23" w:firstLine="220"/>
              <w:jc w:val="center"/>
              <w:rPr>
                <w:rFonts w:eastAsia="Calibri"/>
                <w:spacing w:val="-2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pacing w:val="-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spacing w:before="57" w:line="246" w:lineRule="auto"/>
              <w:ind w:left="38" w:right="34"/>
              <w:jc w:val="center"/>
              <w:rPr>
                <w:rFonts w:eastAsia="Calibri"/>
                <w:spacing w:val="-1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pacing w:val="-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spacing w:before="57" w:line="246" w:lineRule="auto"/>
              <w:ind w:left="40" w:right="39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70E0E"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</w:tr>
      <w:tr w:rsidR="00ED026A" w:rsidRPr="00670E0E" w:rsidTr="004C5607">
        <w:trPr>
          <w:trHeight w:hRule="exact" w:val="797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Default="00ED026A" w:rsidP="004C5607">
            <w:pPr>
              <w:suppressAutoHyphens/>
              <w:ind w:left="55" w:right="283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Клубы,</w:t>
            </w:r>
          </w:p>
          <w:p w:rsidR="00ED026A" w:rsidRPr="00670E0E" w:rsidRDefault="00ED026A" w:rsidP="004C5607">
            <w:pPr>
              <w:suppressAutoHyphens/>
              <w:ind w:left="55" w:right="283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Центр досуга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2F7284" w:rsidRDefault="00ED026A" w:rsidP="004C560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2F7284">
              <w:rPr>
                <w:rFonts w:eastAsia="Calibri"/>
                <w:lang w:eastAsia="zh-CN"/>
              </w:rPr>
              <w:t>1 место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1,19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0,95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0,160</w:t>
            </w:r>
          </w:p>
        </w:tc>
      </w:tr>
      <w:tr w:rsidR="00ED026A" w:rsidRPr="00670E0E" w:rsidTr="004C5607">
        <w:trPr>
          <w:trHeight w:hRule="exact" w:val="797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Default="00ED026A" w:rsidP="004C5607">
            <w:pPr>
              <w:suppressAutoHyphens/>
              <w:ind w:left="55" w:right="283"/>
              <w:rPr>
                <w:rFonts w:eastAsia="Calibri"/>
                <w:sz w:val="28"/>
                <w:szCs w:val="28"/>
                <w:lang w:eastAsia="zh-CN"/>
              </w:rPr>
            </w:pPr>
          </w:p>
          <w:p w:rsidR="00ED026A" w:rsidRDefault="00ED026A" w:rsidP="004C5607">
            <w:pPr>
              <w:suppressAutoHyphens/>
              <w:ind w:left="55" w:right="283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Кинопрокат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2F7284" w:rsidRDefault="00ED026A" w:rsidP="004C5607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 работающий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0,46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0,46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0,186</w:t>
            </w:r>
          </w:p>
        </w:tc>
      </w:tr>
      <w:tr w:rsidR="00ED026A" w:rsidRPr="00670E0E" w:rsidTr="004C5607">
        <w:trPr>
          <w:trHeight w:hRule="exact" w:val="427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 Библиотеки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2F7284" w:rsidRDefault="00ED026A" w:rsidP="004C5607">
            <w:pPr>
              <w:suppressAutoHyphens/>
              <w:spacing w:line="246" w:lineRule="auto"/>
              <w:jc w:val="center"/>
              <w:rPr>
                <w:rFonts w:eastAsia="Calibri"/>
                <w:lang w:eastAsia="zh-CN"/>
              </w:rPr>
            </w:pPr>
            <w:r w:rsidRPr="002F7284">
              <w:rPr>
                <w:rFonts w:eastAsia="Calibri"/>
                <w:lang w:eastAsia="zh-CN"/>
              </w:rPr>
              <w:t>1 работающий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25,01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25,01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0,200</w:t>
            </w:r>
          </w:p>
        </w:tc>
      </w:tr>
      <w:tr w:rsidR="00ED026A" w:rsidRPr="00670E0E" w:rsidTr="004C5607">
        <w:trPr>
          <w:trHeight w:hRule="exact" w:val="1283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ind w:left="55" w:right="567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Полив*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2F7284" w:rsidRDefault="00ED026A" w:rsidP="004C5607">
            <w:pPr>
              <w:suppressAutoHyphens/>
              <w:spacing w:line="24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1м</w:t>
            </w:r>
            <w:r>
              <w:rPr>
                <w:rFonts w:eastAsia="Calibri"/>
                <w:vertAlign w:val="superscript"/>
                <w:lang w:eastAsia="zh-CN"/>
              </w:rPr>
              <w:t xml:space="preserve">3 </w:t>
            </w:r>
            <w:r>
              <w:rPr>
                <w:rFonts w:eastAsia="Calibri"/>
                <w:lang w:eastAsia="zh-CN"/>
              </w:rPr>
              <w:t>на 1м</w:t>
            </w:r>
            <w:r>
              <w:rPr>
                <w:rFonts w:eastAsia="Calibri"/>
                <w:vertAlign w:val="superscript"/>
                <w:lang w:eastAsia="zh-CN"/>
              </w:rPr>
              <w:t xml:space="preserve">2 </w:t>
            </w:r>
            <w:r>
              <w:rPr>
                <w:rFonts w:eastAsia="Calibri"/>
                <w:lang w:eastAsia="zh-CN"/>
              </w:rPr>
              <w:t xml:space="preserve"> поливаемой площади в месяц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0,05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</w:tr>
      <w:tr w:rsidR="00ED026A" w:rsidRPr="00670E0E" w:rsidTr="004C5607">
        <w:trPr>
          <w:trHeight w:hRule="exact" w:val="1275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Pr="00670E0E" w:rsidRDefault="00ED026A" w:rsidP="004C5607">
            <w:pPr>
              <w:suppressAutoHyphens/>
              <w:ind w:left="55" w:right="567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Создание ледяного покрытия катков на 1 кв. м. поверхности: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2F7284" w:rsidRDefault="00ED026A" w:rsidP="004C5607">
            <w:pPr>
              <w:suppressAutoHyphens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ED026A" w:rsidRPr="00670E0E" w:rsidTr="004C5607">
        <w:trPr>
          <w:trHeight w:hRule="exact" w:val="1848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Default="00ED026A" w:rsidP="004C5607">
            <w:pPr>
              <w:suppressAutoHyphens/>
              <w:ind w:left="55" w:right="567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 первоначальная заливка и наращивание слоя льда до расчетной толщины (5см)**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2F7284" w:rsidRDefault="00ED026A" w:rsidP="004C5607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литр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50,0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</w:tr>
      <w:tr w:rsidR="00ED026A" w:rsidRPr="00670E0E" w:rsidTr="004C5607">
        <w:trPr>
          <w:trHeight w:hRule="exact" w:val="112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26A" w:rsidRPr="001D73C4" w:rsidRDefault="00ED026A" w:rsidP="004C5607">
            <w:pPr>
              <w:suppressAutoHyphens/>
              <w:ind w:left="55" w:right="567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-подготовка поверхности льда***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2F7284" w:rsidRDefault="00ED026A" w:rsidP="004C5607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литр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026A" w:rsidRPr="00670E0E" w:rsidRDefault="00ED026A" w:rsidP="004C5607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</w:tr>
    </w:tbl>
    <w:p w:rsidR="00ED026A" w:rsidRDefault="00ED026A" w:rsidP="00ED026A">
      <w:pPr>
        <w:ind w:firstLine="709"/>
        <w:jc w:val="right"/>
        <w:rPr>
          <w:sz w:val="28"/>
          <w:szCs w:val="28"/>
        </w:rPr>
      </w:pPr>
    </w:p>
    <w:p w:rsidR="00ED026A" w:rsidRDefault="00ED026A" w:rsidP="00ED026A">
      <w:pPr>
        <w:ind w:firstLine="709"/>
        <w:jc w:val="both"/>
        <w:rPr>
          <w:sz w:val="28"/>
          <w:szCs w:val="28"/>
        </w:rPr>
      </w:pPr>
      <w:r w:rsidRPr="00B86FB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86FB2">
        <w:rPr>
          <w:sz w:val="28"/>
          <w:szCs w:val="28"/>
        </w:rPr>
        <w:t>Полив земельного участка применяется в летний период с 15 мая по 31 августа</w:t>
      </w:r>
      <w:r>
        <w:rPr>
          <w:sz w:val="28"/>
          <w:szCs w:val="28"/>
        </w:rPr>
        <w:t>.</w:t>
      </w:r>
    </w:p>
    <w:p w:rsidR="00ED026A" w:rsidRDefault="00ED026A" w:rsidP="00ED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Равномерно в течение 12 часов.</w:t>
      </w:r>
    </w:p>
    <w:p w:rsidR="00ED026A" w:rsidRPr="00B86FB2" w:rsidRDefault="00ED026A" w:rsidP="00ED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 5 раз в сутки.</w:t>
      </w:r>
    </w:p>
    <w:p w:rsidR="00684576" w:rsidRDefault="00684576" w:rsidP="00684576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684576" w:rsidRDefault="00684576" w:rsidP="00684576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684576" w:rsidRDefault="00684576" w:rsidP="00684576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684576" w:rsidRDefault="00684576" w:rsidP="00684576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684576" w:rsidRDefault="00684576" w:rsidP="00684576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30.12.2021 № 487</w:t>
      </w:r>
    </w:p>
    <w:p w:rsidR="00ED026A" w:rsidRDefault="00ED026A" w:rsidP="00ED026A">
      <w:pPr>
        <w:ind w:firstLine="709"/>
        <w:jc w:val="right"/>
        <w:rPr>
          <w:sz w:val="28"/>
          <w:szCs w:val="28"/>
        </w:rPr>
      </w:pPr>
    </w:p>
    <w:p w:rsidR="00ED026A" w:rsidRDefault="00684576" w:rsidP="00ED02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26A" w:rsidRDefault="00ED026A" w:rsidP="00ED02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</w:p>
    <w:p w:rsidR="00ED026A" w:rsidRDefault="00ED026A" w:rsidP="00ED026A">
      <w:pPr>
        <w:jc w:val="right"/>
        <w:rPr>
          <w:sz w:val="28"/>
          <w:szCs w:val="28"/>
        </w:rPr>
      </w:pPr>
    </w:p>
    <w:p w:rsidR="00ED026A" w:rsidRDefault="00ED026A" w:rsidP="00ED026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8068E">
        <w:rPr>
          <w:sz w:val="28"/>
          <w:szCs w:val="28"/>
        </w:rPr>
        <w:t xml:space="preserve">ыравнивающие коэффициенты (понижающие или повышающие) для муниципальных учреждений </w:t>
      </w:r>
      <w:r>
        <w:rPr>
          <w:sz w:val="28"/>
          <w:szCs w:val="28"/>
        </w:rPr>
        <w:t>городского округа Зарайск</w:t>
      </w:r>
      <w:r w:rsidRPr="00C8068E">
        <w:rPr>
          <w:sz w:val="28"/>
          <w:szCs w:val="28"/>
        </w:rPr>
        <w:t xml:space="preserve">  сфер</w:t>
      </w:r>
      <w:r>
        <w:rPr>
          <w:sz w:val="28"/>
          <w:szCs w:val="28"/>
        </w:rPr>
        <w:t>ы</w:t>
      </w:r>
      <w:r w:rsidRPr="00C8068E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(водоснабжение).</w:t>
      </w:r>
    </w:p>
    <w:p w:rsidR="00ED026A" w:rsidRDefault="00ED026A" w:rsidP="00ED026A">
      <w:pPr>
        <w:jc w:val="center"/>
        <w:rPr>
          <w:sz w:val="28"/>
          <w:szCs w:val="28"/>
        </w:rPr>
      </w:pPr>
    </w:p>
    <w:p w:rsidR="00ED026A" w:rsidRDefault="00ED026A" w:rsidP="00ED026A">
      <w:pPr>
        <w:jc w:val="center"/>
        <w:rPr>
          <w:sz w:val="28"/>
          <w:szCs w:val="28"/>
        </w:rPr>
      </w:pPr>
    </w:p>
    <w:p w:rsidR="00ED026A" w:rsidRDefault="00ED026A" w:rsidP="00ED026A">
      <w:pPr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085"/>
        <w:gridCol w:w="5969"/>
        <w:gridCol w:w="3119"/>
      </w:tblGrid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6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Выравнивающие коэффициенты (понижающие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 xml:space="preserve"> повышающие)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Pr="00F043D6" w:rsidRDefault="00ED026A" w:rsidP="004C5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 культуры (клубы, центр досуга) 1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9C6136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Ерновский</w:t>
            </w:r>
            <w:proofErr w:type="spellEnd"/>
            <w:r w:rsidRPr="009C613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культуры"</w:t>
            </w:r>
          </w:p>
        </w:tc>
        <w:tc>
          <w:tcPr>
            <w:tcW w:w="3119" w:type="dxa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 культуры (клубы, центр досуга) 2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9C6136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"Дворец культуры имени В.Н. Леонова"</w:t>
            </w:r>
          </w:p>
        </w:tc>
        <w:tc>
          <w:tcPr>
            <w:tcW w:w="3119" w:type="dxa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 культуры (клубы, центр досуга) 3 группы</w:t>
            </w:r>
          </w:p>
        </w:tc>
      </w:tr>
      <w:tr w:rsidR="00ED026A" w:rsidTr="004C5607">
        <w:trPr>
          <w:trHeight w:val="690"/>
        </w:trPr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9C6136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Чулковский</w:t>
            </w:r>
            <w:proofErr w:type="spellEnd"/>
            <w:r w:rsidRPr="009C613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культуры"</w:t>
            </w:r>
          </w:p>
        </w:tc>
        <w:tc>
          <w:tcPr>
            <w:tcW w:w="3119" w:type="dxa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 культуры (клубы, центр досуга) 4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9C6136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Мендюкинский</w:t>
            </w:r>
            <w:proofErr w:type="spellEnd"/>
            <w:r w:rsidRPr="009C613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культуры"</w:t>
            </w:r>
          </w:p>
        </w:tc>
        <w:tc>
          <w:tcPr>
            <w:tcW w:w="3119" w:type="dxa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 культуры (клубы, центр досуга) 5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9C6136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"Центр досуга "Победа" города Зарайска</w:t>
            </w:r>
          </w:p>
        </w:tc>
        <w:tc>
          <w:tcPr>
            <w:tcW w:w="3119" w:type="dxa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Учреждения культуры (клубы, центр досуга)6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9C6136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"Дом культуры поселка "Зарайский"</w:t>
            </w:r>
          </w:p>
        </w:tc>
        <w:tc>
          <w:tcPr>
            <w:tcW w:w="3119" w:type="dxa"/>
          </w:tcPr>
          <w:p w:rsidR="00ED026A" w:rsidRPr="009C6136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36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</w:tbl>
    <w:p w:rsidR="00ED026A" w:rsidRDefault="00ED026A" w:rsidP="00ED026A">
      <w:pPr>
        <w:jc w:val="right"/>
        <w:rPr>
          <w:sz w:val="28"/>
          <w:szCs w:val="28"/>
        </w:rPr>
      </w:pPr>
    </w:p>
    <w:p w:rsidR="00ED026A" w:rsidRDefault="00ED026A" w:rsidP="00ED02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</w:p>
    <w:p w:rsidR="00ED026A" w:rsidRDefault="00ED026A" w:rsidP="00ED026A">
      <w:pPr>
        <w:jc w:val="right"/>
        <w:rPr>
          <w:sz w:val="28"/>
          <w:szCs w:val="28"/>
        </w:rPr>
      </w:pPr>
    </w:p>
    <w:p w:rsidR="00ED026A" w:rsidRDefault="00ED026A" w:rsidP="00ED026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8068E">
        <w:rPr>
          <w:sz w:val="28"/>
          <w:szCs w:val="28"/>
        </w:rPr>
        <w:t xml:space="preserve">ыравнивающие коэффициенты (понижающие или повышающие) для муниципальных учреждений </w:t>
      </w:r>
      <w:r>
        <w:rPr>
          <w:sz w:val="28"/>
          <w:szCs w:val="28"/>
        </w:rPr>
        <w:t>городского округа Зарайск</w:t>
      </w:r>
      <w:r w:rsidRPr="00C8068E">
        <w:rPr>
          <w:sz w:val="28"/>
          <w:szCs w:val="28"/>
        </w:rPr>
        <w:t xml:space="preserve">  сфер</w:t>
      </w:r>
      <w:r>
        <w:rPr>
          <w:sz w:val="28"/>
          <w:szCs w:val="28"/>
        </w:rPr>
        <w:t>ы</w:t>
      </w:r>
      <w:r w:rsidRPr="00C8068E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(водоотведение).</w:t>
      </w:r>
    </w:p>
    <w:p w:rsidR="00ED026A" w:rsidRDefault="00ED026A" w:rsidP="00ED026A">
      <w:pPr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085"/>
        <w:gridCol w:w="5969"/>
        <w:gridCol w:w="3119"/>
      </w:tblGrid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6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Выравнивающие коэффициенты (понижающие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 xml:space="preserve"> повышающие)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Pr="00F043D6" w:rsidRDefault="00ED026A" w:rsidP="004C5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 культуры (клубы, центр досуга) 1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BD79F8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"Дворец культуры имени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77C">
              <w:rPr>
                <w:rFonts w:ascii="Times New Roman" w:hAnsi="Times New Roman" w:cs="Times New Roman"/>
                <w:sz w:val="28"/>
                <w:szCs w:val="28"/>
              </w:rPr>
              <w:t>Леонова"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Учреждения культуры (клубы, центр досуга)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04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F043D6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F043D6">
              <w:rPr>
                <w:rFonts w:ascii="Times New Roman" w:hAnsi="Times New Roman" w:cs="Times New Roman"/>
                <w:sz w:val="28"/>
                <w:szCs w:val="28"/>
              </w:rPr>
              <w:t>Ерновский</w:t>
            </w:r>
            <w:proofErr w:type="spellEnd"/>
            <w:r w:rsidRPr="00F04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культуры"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Учреждения культуры (клубы, центр досуга)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F04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BD79F8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F043D6">
              <w:rPr>
                <w:rFonts w:ascii="Times New Roman" w:hAnsi="Times New Roman" w:cs="Times New Roman"/>
                <w:sz w:val="28"/>
                <w:szCs w:val="28"/>
              </w:rPr>
              <w:t>Чулковский</w:t>
            </w:r>
            <w:proofErr w:type="spellEnd"/>
            <w:r w:rsidRPr="00F04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культуры"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Pr="00AC677C" w:rsidRDefault="00ED026A" w:rsidP="004C5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Учреждения культуры (клубы, центр досуга)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AC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</w:p>
        </w:tc>
      </w:tr>
      <w:tr w:rsidR="00ED026A" w:rsidTr="004C5607">
        <w:trPr>
          <w:trHeight w:val="690"/>
        </w:trPr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BD79F8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F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"Центр досуга "Победа" города Зарайска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ED026A" w:rsidTr="004C5607">
        <w:trPr>
          <w:trHeight w:val="479"/>
        </w:trPr>
        <w:tc>
          <w:tcPr>
            <w:tcW w:w="10173" w:type="dxa"/>
            <w:gridSpan w:val="3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Учреждения культуры (клубы, центр досуга)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C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</w:p>
        </w:tc>
      </w:tr>
      <w:tr w:rsidR="00ED026A" w:rsidTr="004C5607">
        <w:trPr>
          <w:trHeight w:val="690"/>
        </w:trPr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AC677C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AC677C">
              <w:rPr>
                <w:rFonts w:ascii="Times New Roman" w:hAnsi="Times New Roman" w:cs="Times New Roman"/>
                <w:sz w:val="28"/>
                <w:szCs w:val="28"/>
              </w:rPr>
              <w:t>Мендюкинский</w:t>
            </w:r>
            <w:proofErr w:type="spellEnd"/>
            <w:r w:rsidRPr="00AC677C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культуры"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Учреждения культуры (клубы, центр досуга)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AC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BD79F8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F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"Дом культуры поселка "Зарайский"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</w:tbl>
    <w:p w:rsidR="00ED026A" w:rsidRDefault="00ED026A" w:rsidP="00ED026A">
      <w:pPr>
        <w:ind w:firstLine="709"/>
        <w:jc w:val="right"/>
        <w:rPr>
          <w:sz w:val="28"/>
          <w:szCs w:val="28"/>
        </w:rPr>
      </w:pPr>
    </w:p>
    <w:p w:rsidR="00ED026A" w:rsidRDefault="00ED026A" w:rsidP="00ED026A">
      <w:pPr>
        <w:ind w:firstLine="709"/>
        <w:jc w:val="right"/>
        <w:rPr>
          <w:sz w:val="28"/>
          <w:szCs w:val="28"/>
        </w:rPr>
      </w:pPr>
    </w:p>
    <w:p w:rsidR="00ED026A" w:rsidRDefault="00ED026A" w:rsidP="00ED026A">
      <w:pPr>
        <w:ind w:firstLine="709"/>
        <w:jc w:val="right"/>
        <w:rPr>
          <w:sz w:val="28"/>
          <w:szCs w:val="28"/>
        </w:rPr>
      </w:pPr>
    </w:p>
    <w:p w:rsidR="00ED026A" w:rsidRDefault="00ED026A" w:rsidP="00ED02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3. </w:t>
      </w:r>
    </w:p>
    <w:p w:rsidR="00ED026A" w:rsidRDefault="00ED026A" w:rsidP="00ED026A">
      <w:pPr>
        <w:jc w:val="right"/>
        <w:rPr>
          <w:sz w:val="28"/>
          <w:szCs w:val="28"/>
        </w:rPr>
      </w:pPr>
    </w:p>
    <w:p w:rsidR="00ED026A" w:rsidRDefault="00ED026A" w:rsidP="00ED026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8068E">
        <w:rPr>
          <w:sz w:val="28"/>
          <w:szCs w:val="28"/>
        </w:rPr>
        <w:t xml:space="preserve">ыравнивающие коэффициенты (понижающие или повышающие) для муниципальных учреждений </w:t>
      </w:r>
      <w:r>
        <w:rPr>
          <w:sz w:val="28"/>
          <w:szCs w:val="28"/>
        </w:rPr>
        <w:t>городского округа Зарайск</w:t>
      </w:r>
      <w:r w:rsidRPr="00C8068E">
        <w:rPr>
          <w:sz w:val="28"/>
          <w:szCs w:val="28"/>
        </w:rPr>
        <w:t xml:space="preserve"> сферы </w:t>
      </w:r>
      <w:r>
        <w:rPr>
          <w:sz w:val="28"/>
          <w:szCs w:val="28"/>
        </w:rPr>
        <w:t>культуры (отопление).</w:t>
      </w:r>
    </w:p>
    <w:p w:rsidR="00ED026A" w:rsidRDefault="00ED026A" w:rsidP="00ED026A">
      <w:pPr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085"/>
        <w:gridCol w:w="5969"/>
        <w:gridCol w:w="3119"/>
      </w:tblGrid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6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>Выравнивающие коэффициенты (понижающие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068E">
              <w:rPr>
                <w:rFonts w:ascii="Times New Roman" w:hAnsi="Times New Roman" w:cs="Times New Roman"/>
                <w:sz w:val="28"/>
                <w:szCs w:val="28"/>
              </w:rPr>
              <w:t xml:space="preserve"> повышающие)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Pr="00C8068E" w:rsidRDefault="00ED026A" w:rsidP="004C5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 культуры (клубы, центр досуга) 1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  <w:shd w:val="clear" w:color="auto" w:fill="auto"/>
          </w:tcPr>
          <w:p w:rsidR="00ED026A" w:rsidRPr="00BD79F8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F043D6">
              <w:rPr>
                <w:rFonts w:ascii="Times New Roman" w:hAnsi="Times New Roman" w:cs="Times New Roman"/>
                <w:sz w:val="28"/>
                <w:szCs w:val="28"/>
              </w:rPr>
              <w:t>Ерновский</w:t>
            </w:r>
            <w:proofErr w:type="spellEnd"/>
            <w:r w:rsidRPr="00F04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культуры"</w:t>
            </w:r>
          </w:p>
        </w:tc>
        <w:tc>
          <w:tcPr>
            <w:tcW w:w="3119" w:type="dxa"/>
            <w:vMerge w:val="restart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1,16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69" w:type="dxa"/>
            <w:shd w:val="clear" w:color="auto" w:fill="auto"/>
          </w:tcPr>
          <w:p w:rsidR="00ED026A" w:rsidRPr="00BD79F8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F043D6">
              <w:rPr>
                <w:rFonts w:ascii="Times New Roman" w:hAnsi="Times New Roman" w:cs="Times New Roman"/>
                <w:sz w:val="28"/>
                <w:szCs w:val="28"/>
              </w:rPr>
              <w:t>Чулковский</w:t>
            </w:r>
            <w:proofErr w:type="spellEnd"/>
            <w:r w:rsidRPr="00F04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культуры"</w:t>
            </w:r>
          </w:p>
        </w:tc>
        <w:tc>
          <w:tcPr>
            <w:tcW w:w="3119" w:type="dxa"/>
            <w:vMerge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26A" w:rsidTr="004C5607">
        <w:tc>
          <w:tcPr>
            <w:tcW w:w="10173" w:type="dxa"/>
            <w:gridSpan w:val="3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Учреждения культуры (клубы, центр досуга)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04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AC677C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F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"Центр досуга "Победа" города Зарайска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Учреждения культуры (клубы, центр досуга)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AC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B51BF6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"Дворец культуры имени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77C">
              <w:rPr>
                <w:rFonts w:ascii="Times New Roman" w:hAnsi="Times New Roman" w:cs="Times New Roman"/>
                <w:sz w:val="28"/>
                <w:szCs w:val="28"/>
              </w:rPr>
              <w:t>Леонова"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Pr="008F48E0" w:rsidRDefault="00ED026A" w:rsidP="004C56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48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Учреждения культуры (клубы, центр досуга)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8F48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9" w:type="dxa"/>
          </w:tcPr>
          <w:p w:rsidR="00ED026A" w:rsidRPr="00AC677C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AC677C">
              <w:rPr>
                <w:rFonts w:ascii="Times New Roman" w:hAnsi="Times New Roman" w:cs="Times New Roman"/>
                <w:sz w:val="28"/>
                <w:szCs w:val="28"/>
              </w:rPr>
              <w:t>Мендюкинский</w:t>
            </w:r>
            <w:proofErr w:type="spellEnd"/>
            <w:r w:rsidRPr="00AC677C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ED026A" w:rsidTr="004C5607">
        <w:tc>
          <w:tcPr>
            <w:tcW w:w="10173" w:type="dxa"/>
            <w:gridSpan w:val="3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Учреждения культуры (клубы, центр досуга)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C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</w:p>
        </w:tc>
      </w:tr>
      <w:tr w:rsidR="00ED026A" w:rsidTr="004C5607">
        <w:tc>
          <w:tcPr>
            <w:tcW w:w="1085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D026A" w:rsidRPr="001C477D" w:rsidRDefault="00ED026A" w:rsidP="004C5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F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"Дом культуры поселка "Зарайский"</w:t>
            </w:r>
          </w:p>
        </w:tc>
        <w:tc>
          <w:tcPr>
            <w:tcW w:w="3119" w:type="dxa"/>
          </w:tcPr>
          <w:p w:rsidR="00ED026A" w:rsidRDefault="00ED026A" w:rsidP="004C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</w:tbl>
    <w:p w:rsidR="00ED026A" w:rsidRDefault="00ED026A" w:rsidP="00ED026A">
      <w:pPr>
        <w:ind w:firstLine="709"/>
        <w:jc w:val="right"/>
        <w:rPr>
          <w:sz w:val="28"/>
          <w:szCs w:val="28"/>
        </w:rPr>
      </w:pPr>
    </w:p>
    <w:p w:rsidR="001E7E05" w:rsidRPr="00776A8F" w:rsidRDefault="004C67CD" w:rsidP="00C15388">
      <w:pPr>
        <w:pStyle w:val="a6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15388">
        <w:rPr>
          <w:sz w:val="26"/>
          <w:szCs w:val="26"/>
        </w:rPr>
        <w:t xml:space="preserve"> </w:t>
      </w:r>
    </w:p>
    <w:sectPr w:rsidR="001E7E05" w:rsidRPr="00776A8F" w:rsidSect="005D6893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8A" w:rsidRDefault="00DE608A">
      <w:r>
        <w:separator/>
      </w:r>
    </w:p>
  </w:endnote>
  <w:endnote w:type="continuationSeparator" w:id="0">
    <w:p w:rsidR="00DE608A" w:rsidRDefault="00DE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8A" w:rsidRDefault="00DE608A">
      <w:r>
        <w:separator/>
      </w:r>
    </w:p>
  </w:footnote>
  <w:footnote w:type="continuationSeparator" w:id="0">
    <w:p w:rsidR="00DE608A" w:rsidRDefault="00DE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7136D16"/>
    <w:multiLevelType w:val="hybridMultilevel"/>
    <w:tmpl w:val="4EC2E87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A6334C"/>
    <w:multiLevelType w:val="hybridMultilevel"/>
    <w:tmpl w:val="C968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8"/>
  </w:num>
  <w:num w:numId="7">
    <w:abstractNumId w:val="22"/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4"/>
  </w:num>
  <w:num w:numId="12">
    <w:abstractNumId w:val="3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4A4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9D2"/>
    <w:rsid w:val="0006486D"/>
    <w:rsid w:val="0006520C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5AD"/>
    <w:rsid w:val="000B16FE"/>
    <w:rsid w:val="000B414D"/>
    <w:rsid w:val="000B429A"/>
    <w:rsid w:val="000B53CD"/>
    <w:rsid w:val="000B5679"/>
    <w:rsid w:val="000B56DC"/>
    <w:rsid w:val="000B6799"/>
    <w:rsid w:val="000B71A6"/>
    <w:rsid w:val="000C113F"/>
    <w:rsid w:val="000C1764"/>
    <w:rsid w:val="000C2740"/>
    <w:rsid w:val="000C3FEF"/>
    <w:rsid w:val="000C7B80"/>
    <w:rsid w:val="000D1119"/>
    <w:rsid w:val="000D1F83"/>
    <w:rsid w:val="000D5111"/>
    <w:rsid w:val="000D707C"/>
    <w:rsid w:val="000D71AF"/>
    <w:rsid w:val="000D7A53"/>
    <w:rsid w:val="000E0555"/>
    <w:rsid w:val="000E28E2"/>
    <w:rsid w:val="000E2B58"/>
    <w:rsid w:val="000E2FD6"/>
    <w:rsid w:val="000E5149"/>
    <w:rsid w:val="000E5C15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27B12"/>
    <w:rsid w:val="0013311A"/>
    <w:rsid w:val="001331A1"/>
    <w:rsid w:val="00133499"/>
    <w:rsid w:val="00133513"/>
    <w:rsid w:val="001340BF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4BD3"/>
    <w:rsid w:val="001951E1"/>
    <w:rsid w:val="0019785E"/>
    <w:rsid w:val="001A0B63"/>
    <w:rsid w:val="001A5A6A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F8"/>
    <w:rsid w:val="001D0405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34EB"/>
    <w:rsid w:val="00214476"/>
    <w:rsid w:val="0021551E"/>
    <w:rsid w:val="0021567E"/>
    <w:rsid w:val="0022134C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579CF"/>
    <w:rsid w:val="002604EE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7151"/>
    <w:rsid w:val="003373BB"/>
    <w:rsid w:val="00341206"/>
    <w:rsid w:val="00341216"/>
    <w:rsid w:val="0034130B"/>
    <w:rsid w:val="00344A69"/>
    <w:rsid w:val="00346A92"/>
    <w:rsid w:val="003471E3"/>
    <w:rsid w:val="00347FE5"/>
    <w:rsid w:val="003502CF"/>
    <w:rsid w:val="0035052C"/>
    <w:rsid w:val="00351343"/>
    <w:rsid w:val="00351685"/>
    <w:rsid w:val="00352A01"/>
    <w:rsid w:val="00352E25"/>
    <w:rsid w:val="00354B9D"/>
    <w:rsid w:val="00363BAF"/>
    <w:rsid w:val="00367977"/>
    <w:rsid w:val="00371566"/>
    <w:rsid w:val="003731C0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20C6"/>
    <w:rsid w:val="003D2EA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0A82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2FA3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2F8C"/>
    <w:rsid w:val="004B3F04"/>
    <w:rsid w:val="004B51EF"/>
    <w:rsid w:val="004B7051"/>
    <w:rsid w:val="004B79DD"/>
    <w:rsid w:val="004C017A"/>
    <w:rsid w:val="004C229B"/>
    <w:rsid w:val="004C2849"/>
    <w:rsid w:val="004C67CD"/>
    <w:rsid w:val="004D06EC"/>
    <w:rsid w:val="004D1487"/>
    <w:rsid w:val="004D1566"/>
    <w:rsid w:val="004D161B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0921"/>
    <w:rsid w:val="0051411E"/>
    <w:rsid w:val="00515879"/>
    <w:rsid w:val="005204A6"/>
    <w:rsid w:val="005209BD"/>
    <w:rsid w:val="00521F09"/>
    <w:rsid w:val="0052456F"/>
    <w:rsid w:val="005275C2"/>
    <w:rsid w:val="00530EB3"/>
    <w:rsid w:val="005313C4"/>
    <w:rsid w:val="00532C6D"/>
    <w:rsid w:val="00535BBC"/>
    <w:rsid w:val="00537248"/>
    <w:rsid w:val="00541264"/>
    <w:rsid w:val="00543B0C"/>
    <w:rsid w:val="0054488A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86251"/>
    <w:rsid w:val="0059081B"/>
    <w:rsid w:val="00592C8B"/>
    <w:rsid w:val="00593042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6E4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FC1"/>
    <w:rsid w:val="005F0FA4"/>
    <w:rsid w:val="005F17FF"/>
    <w:rsid w:val="005F1866"/>
    <w:rsid w:val="005F22E6"/>
    <w:rsid w:val="005F2D4B"/>
    <w:rsid w:val="005F52CE"/>
    <w:rsid w:val="005F5F33"/>
    <w:rsid w:val="005F634B"/>
    <w:rsid w:val="005F754C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576"/>
    <w:rsid w:val="00684707"/>
    <w:rsid w:val="00684E1A"/>
    <w:rsid w:val="006859E3"/>
    <w:rsid w:val="0068769A"/>
    <w:rsid w:val="0069032F"/>
    <w:rsid w:val="006921FB"/>
    <w:rsid w:val="00692BA2"/>
    <w:rsid w:val="006930D7"/>
    <w:rsid w:val="00693210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2DF8"/>
    <w:rsid w:val="00712EC2"/>
    <w:rsid w:val="007132CB"/>
    <w:rsid w:val="0072060A"/>
    <w:rsid w:val="00720A70"/>
    <w:rsid w:val="00721205"/>
    <w:rsid w:val="007221C9"/>
    <w:rsid w:val="00723800"/>
    <w:rsid w:val="00725E35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49E5"/>
    <w:rsid w:val="007654E5"/>
    <w:rsid w:val="0076618D"/>
    <w:rsid w:val="00774449"/>
    <w:rsid w:val="00774BA1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53F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59A1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0FEF"/>
    <w:rsid w:val="00833433"/>
    <w:rsid w:val="008336EB"/>
    <w:rsid w:val="008347EE"/>
    <w:rsid w:val="0083559E"/>
    <w:rsid w:val="00836D85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49FF"/>
    <w:rsid w:val="0088668D"/>
    <w:rsid w:val="008932BE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2A6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983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2AD9"/>
    <w:rsid w:val="0096476C"/>
    <w:rsid w:val="00964A5E"/>
    <w:rsid w:val="009663BE"/>
    <w:rsid w:val="0097065C"/>
    <w:rsid w:val="0097079F"/>
    <w:rsid w:val="00973432"/>
    <w:rsid w:val="0097353F"/>
    <w:rsid w:val="009754FA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589A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2111E"/>
    <w:rsid w:val="00A215DB"/>
    <w:rsid w:val="00A2206D"/>
    <w:rsid w:val="00A2359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2969"/>
    <w:rsid w:val="00AE3E41"/>
    <w:rsid w:val="00AE47AB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713"/>
    <w:rsid w:val="00B00AB0"/>
    <w:rsid w:val="00B023DA"/>
    <w:rsid w:val="00B02AEB"/>
    <w:rsid w:val="00B06221"/>
    <w:rsid w:val="00B062D3"/>
    <w:rsid w:val="00B07A65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038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323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36A"/>
    <w:rsid w:val="00B96AA9"/>
    <w:rsid w:val="00B977FF"/>
    <w:rsid w:val="00BA371C"/>
    <w:rsid w:val="00BA3B51"/>
    <w:rsid w:val="00BA453D"/>
    <w:rsid w:val="00BA494E"/>
    <w:rsid w:val="00BA672A"/>
    <w:rsid w:val="00BB3D88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11CB"/>
    <w:rsid w:val="00BD1302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0518E"/>
    <w:rsid w:val="00C12CBD"/>
    <w:rsid w:val="00C15388"/>
    <w:rsid w:val="00C15A6E"/>
    <w:rsid w:val="00C2163F"/>
    <w:rsid w:val="00C2445E"/>
    <w:rsid w:val="00C315F2"/>
    <w:rsid w:val="00C3329D"/>
    <w:rsid w:val="00C3348D"/>
    <w:rsid w:val="00C3493C"/>
    <w:rsid w:val="00C34D25"/>
    <w:rsid w:val="00C36E08"/>
    <w:rsid w:val="00C37159"/>
    <w:rsid w:val="00C4193D"/>
    <w:rsid w:val="00C42FCB"/>
    <w:rsid w:val="00C4342D"/>
    <w:rsid w:val="00C446F4"/>
    <w:rsid w:val="00C45121"/>
    <w:rsid w:val="00C46C93"/>
    <w:rsid w:val="00C4762F"/>
    <w:rsid w:val="00C50DE3"/>
    <w:rsid w:val="00C52F60"/>
    <w:rsid w:val="00C567EC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36EB5"/>
    <w:rsid w:val="00D4191A"/>
    <w:rsid w:val="00D42562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31A9"/>
    <w:rsid w:val="00DB247E"/>
    <w:rsid w:val="00DB2DF6"/>
    <w:rsid w:val="00DB38AC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E608A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561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557C"/>
    <w:rsid w:val="00E57ECB"/>
    <w:rsid w:val="00E57F9E"/>
    <w:rsid w:val="00E61519"/>
    <w:rsid w:val="00E61932"/>
    <w:rsid w:val="00E6250A"/>
    <w:rsid w:val="00E62BAE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322"/>
    <w:rsid w:val="00EC6823"/>
    <w:rsid w:val="00EC7C7E"/>
    <w:rsid w:val="00EC7FEA"/>
    <w:rsid w:val="00ED026A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1EA4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75EE"/>
    <w:rsid w:val="00FC7E39"/>
    <w:rsid w:val="00FD1DA2"/>
    <w:rsid w:val="00FD1DF7"/>
    <w:rsid w:val="00FD22D7"/>
    <w:rsid w:val="00FD2E34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4C67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4C67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A40F-5644-4AEB-8C0E-EAABD836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319</cp:revision>
  <cp:lastPrinted>2021-12-06T11:47:00Z</cp:lastPrinted>
  <dcterms:created xsi:type="dcterms:W3CDTF">2019-10-22T07:23:00Z</dcterms:created>
  <dcterms:modified xsi:type="dcterms:W3CDTF">2022-01-21T04:56:00Z</dcterms:modified>
</cp:coreProperties>
</file>