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Pr="006F0996">
        <w:rPr>
          <w:color w:val="000000"/>
          <w:sz w:val="26"/>
          <w:szCs w:val="26"/>
        </w:rPr>
        <w:t>Постановления № 2036/11 от 23.11.2018г. «О вступлении в должность главы городского округа»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______________________________ </w:t>
      </w:r>
      <w:r w:rsidRPr="006E297D">
        <w:rPr>
          <w:color w:val="000000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 xml:space="preserve">_________________________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_____г.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 xml:space="preserve">3.1. Годовой размер платы за размещение нестационарного торгового объекта составляет </w:t>
      </w:r>
      <w:r>
        <w:rPr>
          <w:color w:val="000000"/>
          <w:sz w:val="26"/>
          <w:szCs w:val="26"/>
        </w:rPr>
        <w:t>_______ (_______________) рублей 00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течении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</w:t>
      </w:r>
      <w:r w:rsidRPr="006E297D">
        <w:rPr>
          <w:color w:val="000000"/>
          <w:sz w:val="26"/>
          <w:szCs w:val="26"/>
        </w:rPr>
        <w:lastRenderedPageBreak/>
        <w:t>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с даты получения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r w:rsidRPr="006E297D">
          <w:rPr>
            <w:color w:val="000000"/>
            <w:sz w:val="26"/>
            <w:szCs w:val="26"/>
          </w:rPr>
          <w:t>пп.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7.5. Если претензионные требования подлежат денежной оценке, в претензии указываются истребуемая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7.8.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г. Зарайск, ул. Советская,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л\сч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р\с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______________/ 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035E6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6E297D" w:rsidRDefault="00030B4B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25996" w:rsidP="00AD0DF4">
            <w:pPr>
              <w:jc w:val="center"/>
              <w:rPr>
                <w:sz w:val="20"/>
                <w:szCs w:val="20"/>
              </w:rPr>
            </w:pPr>
            <w:r w:rsidRPr="00B056D5">
              <w:rPr>
                <w:sz w:val="20"/>
                <w:szCs w:val="20"/>
              </w:rPr>
              <w:t xml:space="preserve">Московская область, </w:t>
            </w:r>
            <w:r>
              <w:rPr>
                <w:sz w:val="20"/>
                <w:szCs w:val="20"/>
              </w:rPr>
              <w:t>городской округ Зарайск</w:t>
            </w:r>
            <w:r w:rsidR="008035E6" w:rsidRPr="008035E6">
              <w:rPr>
                <w:sz w:val="20"/>
                <w:szCs w:val="20"/>
              </w:rPr>
              <w:t>,</w:t>
            </w:r>
          </w:p>
          <w:p w:rsidR="008035E6" w:rsidRPr="008035E6" w:rsidRDefault="008035E6" w:rsidP="00AD0DF4">
            <w:pPr>
              <w:jc w:val="center"/>
              <w:rPr>
                <w:sz w:val="20"/>
                <w:szCs w:val="20"/>
              </w:rPr>
            </w:pPr>
            <w:r w:rsidRPr="008035E6">
              <w:rPr>
                <w:sz w:val="20"/>
                <w:szCs w:val="20"/>
              </w:rPr>
              <w:t>д. Новоселки, около д. №13</w:t>
            </w:r>
          </w:p>
          <w:p w:rsidR="008035E6" w:rsidRPr="008035E6" w:rsidRDefault="008035E6" w:rsidP="00AD0DF4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5A6A04" w:rsidP="00A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bookmarkStart w:id="8" w:name="_GoBack"/>
            <w:bookmarkEnd w:id="8"/>
          </w:p>
          <w:p w:rsidR="008035E6" w:rsidRPr="008035E6" w:rsidRDefault="008035E6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AD0DF4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AD0DF4">
            <w:pPr>
              <w:rPr>
                <w:sz w:val="20"/>
                <w:szCs w:val="20"/>
              </w:rPr>
            </w:pPr>
            <w:r w:rsidRPr="008035E6">
              <w:rPr>
                <w:sz w:val="20"/>
                <w:szCs w:val="20"/>
              </w:rPr>
              <w:t>Павильон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AD0DF4">
            <w:pPr>
              <w:rPr>
                <w:sz w:val="20"/>
                <w:szCs w:val="20"/>
              </w:rPr>
            </w:pPr>
            <w:r w:rsidRPr="008035E6">
              <w:rPr>
                <w:sz w:val="20"/>
                <w:szCs w:val="20"/>
              </w:rPr>
              <w:t>Промтовары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247CDF">
              <w:rPr>
                <w:color w:val="000000"/>
                <w:sz w:val="26"/>
                <w:szCs w:val="26"/>
              </w:rPr>
              <w:t>________________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2200BC"/>
    <w:rsid w:val="00247CDF"/>
    <w:rsid w:val="00251E7C"/>
    <w:rsid w:val="00265AC0"/>
    <w:rsid w:val="0033627A"/>
    <w:rsid w:val="003748ED"/>
    <w:rsid w:val="004823F6"/>
    <w:rsid w:val="004953A2"/>
    <w:rsid w:val="004B0F51"/>
    <w:rsid w:val="005503BA"/>
    <w:rsid w:val="005A6A04"/>
    <w:rsid w:val="00612B29"/>
    <w:rsid w:val="006B7FA1"/>
    <w:rsid w:val="006C63F1"/>
    <w:rsid w:val="006F0996"/>
    <w:rsid w:val="007C4AF6"/>
    <w:rsid w:val="008035E6"/>
    <w:rsid w:val="00825996"/>
    <w:rsid w:val="008A2925"/>
    <w:rsid w:val="00A42A07"/>
    <w:rsid w:val="00A8166D"/>
    <w:rsid w:val="00AE4073"/>
    <w:rsid w:val="00B94FB5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25</cp:revision>
  <cp:lastPrinted>2017-06-30T04:10:00Z</cp:lastPrinted>
  <dcterms:created xsi:type="dcterms:W3CDTF">2017-06-30T04:03:00Z</dcterms:created>
  <dcterms:modified xsi:type="dcterms:W3CDTF">2021-06-02T13:03:00Z</dcterms:modified>
</cp:coreProperties>
</file>